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Look w:val="01E0" w:firstRow="1" w:lastRow="1" w:firstColumn="1" w:lastColumn="1" w:noHBand="0" w:noVBand="0"/>
      </w:tblPr>
      <w:tblGrid>
        <w:gridCol w:w="3310"/>
        <w:gridCol w:w="5762"/>
      </w:tblGrid>
      <w:tr w:rsidR="00D31EFE" w:rsidRPr="00172E46" w14:paraId="1C479F06" w14:textId="77777777" w:rsidTr="00344D6E">
        <w:trPr>
          <w:trHeight w:val="1438"/>
          <w:jc w:val="center"/>
        </w:trPr>
        <w:tc>
          <w:tcPr>
            <w:tcW w:w="3310" w:type="dxa"/>
          </w:tcPr>
          <w:p w14:paraId="51689188" w14:textId="4D13B881" w:rsidR="00D31EFE" w:rsidRPr="00172E46" w:rsidRDefault="00D31EFE" w:rsidP="00FB6E30">
            <w:pPr>
              <w:widowControl w:val="0"/>
              <w:jc w:val="center"/>
              <w:rPr>
                <w:b/>
              </w:rPr>
            </w:pPr>
            <w:r w:rsidRPr="00172E46">
              <w:rPr>
                <w:b/>
              </w:rPr>
              <w:t>ỦY BAN NHÂN DÂN</w:t>
            </w:r>
          </w:p>
          <w:p w14:paraId="33A4011F" w14:textId="77777777" w:rsidR="00D31EFE" w:rsidRPr="00172E46" w:rsidRDefault="00D31EFE" w:rsidP="00FB6E30">
            <w:pPr>
              <w:widowControl w:val="0"/>
              <w:jc w:val="center"/>
            </w:pPr>
            <w:r w:rsidRPr="00172E46">
              <w:rPr>
                <w:b/>
              </w:rPr>
              <w:t>TỈNH ĐỒNG NAI</w:t>
            </w:r>
          </w:p>
          <w:p w14:paraId="35CBDFA0" w14:textId="04F9C5DC" w:rsidR="00D31EFE" w:rsidRPr="00172E46" w:rsidRDefault="00D31EFE" w:rsidP="00FB6E30">
            <w:pPr>
              <w:widowControl w:val="0"/>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522F94FA" wp14:editId="7D524FBC">
                      <wp:simplePos x="0" y="0"/>
                      <wp:positionH relativeFrom="column">
                        <wp:posOffset>546100</wp:posOffset>
                      </wp:positionH>
                      <wp:positionV relativeFrom="paragraph">
                        <wp:posOffset>42545</wp:posOffset>
                      </wp:positionV>
                      <wp:extent cx="86677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64A528" id="_x0000_t32" coordsize="21600,21600" o:spt="32" o:oned="t" path="m,l21600,21600e" filled="f">
                      <v:path arrowok="t" fillok="f" o:connecttype="none"/>
                      <o:lock v:ext="edit" shapetype="t"/>
                    </v:shapetype>
                    <v:shape id="Straight Arrow Connector 4" o:spid="_x0000_s1026" type="#_x0000_t32" style="position:absolute;margin-left:43pt;margin-top:3.35pt;width:6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9u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"/>
                  </w:pict>
                </mc:Fallback>
              </mc:AlternateContent>
            </w:r>
          </w:p>
          <w:p w14:paraId="638D91A3" w14:textId="663F4241" w:rsidR="00D31EFE" w:rsidRPr="00172E46" w:rsidRDefault="00D31EFE" w:rsidP="00FB6E30">
            <w:pPr>
              <w:widowControl w:val="0"/>
              <w:jc w:val="center"/>
              <w:rPr>
                <w:sz w:val="26"/>
                <w:szCs w:val="26"/>
              </w:rPr>
            </w:pPr>
            <w:r w:rsidRPr="00172E46">
              <w:rPr>
                <w:sz w:val="26"/>
                <w:szCs w:val="26"/>
              </w:rPr>
              <w:t xml:space="preserve">Số:   </w:t>
            </w:r>
            <w:r w:rsidR="003A5D4B">
              <w:rPr>
                <w:sz w:val="26"/>
                <w:szCs w:val="26"/>
              </w:rPr>
              <w:t xml:space="preserve">      </w:t>
            </w:r>
            <w:r w:rsidRPr="00172E46">
              <w:rPr>
                <w:sz w:val="26"/>
                <w:szCs w:val="26"/>
              </w:rPr>
              <w:t xml:space="preserve">      /BC-UBND</w:t>
            </w:r>
          </w:p>
        </w:tc>
        <w:tc>
          <w:tcPr>
            <w:tcW w:w="5762" w:type="dxa"/>
          </w:tcPr>
          <w:p w14:paraId="49190044" w14:textId="77777777" w:rsidR="00D31EFE" w:rsidRPr="00172E46" w:rsidRDefault="00D31EFE" w:rsidP="00FB6E30">
            <w:pPr>
              <w:widowControl w:val="0"/>
              <w:jc w:val="center"/>
              <w:rPr>
                <w:b/>
                <w:sz w:val="26"/>
                <w:szCs w:val="26"/>
              </w:rPr>
            </w:pPr>
            <w:r w:rsidRPr="00172E46">
              <w:rPr>
                <w:b/>
                <w:sz w:val="26"/>
                <w:szCs w:val="26"/>
              </w:rPr>
              <w:t>CỘNG HÒA XÃ HỘI CHỦ NGHĨA VIỆT NAM</w:t>
            </w:r>
          </w:p>
          <w:p w14:paraId="5F2C19AD" w14:textId="38EA0E3C" w:rsidR="00D31EFE" w:rsidRPr="00172E46" w:rsidRDefault="00D31EFE" w:rsidP="00FB6E30">
            <w:pPr>
              <w:widowControl w:val="0"/>
              <w:jc w:val="center"/>
              <w:rPr>
                <w:b/>
              </w:rPr>
            </w:pPr>
            <w:r w:rsidRPr="00172E46">
              <w:rPr>
                <w:b/>
              </w:rPr>
              <w:t>Độc lập - Tự do - Hạnh phúc</w:t>
            </w:r>
          </w:p>
          <w:p w14:paraId="39E1EE0B" w14:textId="7264ED19" w:rsidR="00D31EFE" w:rsidRPr="00172E46" w:rsidRDefault="00D31EFE" w:rsidP="00FB6E30">
            <w:pPr>
              <w:widowControl w:val="0"/>
              <w:jc w:val="center"/>
            </w:pPr>
            <w:r>
              <w:rPr>
                <w:noProof/>
              </w:rPr>
              <mc:AlternateContent>
                <mc:Choice Requires="wps">
                  <w:drawing>
                    <wp:anchor distT="0" distB="0" distL="114300" distR="114300" simplePos="0" relativeHeight="251660288" behindDoc="0" locked="0" layoutInCell="1" allowOverlap="1" wp14:anchorId="067999C1" wp14:editId="5EC2CDFB">
                      <wp:simplePos x="0" y="0"/>
                      <wp:positionH relativeFrom="column">
                        <wp:posOffset>836295</wp:posOffset>
                      </wp:positionH>
                      <wp:positionV relativeFrom="paragraph">
                        <wp:posOffset>32385</wp:posOffset>
                      </wp:positionV>
                      <wp:extent cx="2106930" cy="0"/>
                      <wp:effectExtent l="8255" t="10160" r="889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F82777" id="Straight Arrow Connector 2" o:spid="_x0000_s1026" type="#_x0000_t32" style="position:absolute;margin-left:65.85pt;margin-top:2.55pt;width:16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GuAEAAFY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"/>
                  </w:pict>
                </mc:Fallback>
              </mc:AlternateContent>
            </w:r>
          </w:p>
          <w:p w14:paraId="6550C7B7" w14:textId="653ED89B" w:rsidR="00D31EFE" w:rsidRPr="003F339E" w:rsidRDefault="00D31EFE" w:rsidP="00FB6E30">
            <w:pPr>
              <w:widowControl w:val="0"/>
              <w:jc w:val="center"/>
              <w:rPr>
                <w:b/>
              </w:rPr>
            </w:pPr>
            <w:r w:rsidRPr="00172E46">
              <w:rPr>
                <w:i/>
              </w:rPr>
              <w:t>Đồng Nai, ngày        tháng      năm 202</w:t>
            </w:r>
            <w:r>
              <w:rPr>
                <w:i/>
              </w:rPr>
              <w:t>2</w:t>
            </w:r>
          </w:p>
          <w:p w14:paraId="670A96CA" w14:textId="77777777" w:rsidR="00D31EFE" w:rsidRPr="00172E46" w:rsidRDefault="00D31EFE" w:rsidP="00FB6E30">
            <w:pPr>
              <w:widowControl w:val="0"/>
              <w:jc w:val="center"/>
            </w:pPr>
          </w:p>
        </w:tc>
      </w:tr>
    </w:tbl>
    <w:p w14:paraId="02AC6247" w14:textId="2FD23D26" w:rsidR="00D31EFE" w:rsidRPr="00154B39" w:rsidRDefault="00A40908" w:rsidP="00FB6E30">
      <w:pPr>
        <w:widowControl w:val="0"/>
        <w:spacing w:before="240"/>
        <w:jc w:val="center"/>
        <w:rPr>
          <w:b/>
          <w:bCs/>
        </w:rPr>
      </w:pPr>
      <w:r w:rsidRPr="00154B39">
        <w:rPr>
          <w:noProof/>
        </w:rPr>
        <mc:AlternateContent>
          <mc:Choice Requires="wps">
            <w:drawing>
              <wp:anchor distT="0" distB="0" distL="114300" distR="114300" simplePos="0" relativeHeight="251662336" behindDoc="0" locked="0" layoutInCell="1" allowOverlap="1" wp14:anchorId="06730AFF" wp14:editId="59D000B3">
                <wp:simplePos x="0" y="0"/>
                <wp:positionH relativeFrom="column">
                  <wp:posOffset>-280035</wp:posOffset>
                </wp:positionH>
                <wp:positionV relativeFrom="paragraph">
                  <wp:posOffset>24765</wp:posOffset>
                </wp:positionV>
                <wp:extent cx="1095375" cy="3143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14325"/>
                        </a:xfrm>
                        <a:prstGeom prst="rect">
                          <a:avLst/>
                        </a:prstGeom>
                        <a:solidFill>
                          <a:srgbClr val="FFFFFF"/>
                        </a:solidFill>
                        <a:ln w="9525">
                          <a:solidFill>
                            <a:srgbClr val="000000"/>
                          </a:solidFill>
                          <a:miter lim="800000"/>
                          <a:headEnd/>
                          <a:tailEnd/>
                        </a:ln>
                      </wps:spPr>
                      <wps:txbx>
                        <w:txbxContent>
                          <w:p w14:paraId="286740BF" w14:textId="77777777" w:rsidR="00D31EFE" w:rsidRPr="00A40908" w:rsidRDefault="00D31EFE" w:rsidP="00665C11">
                            <w:pPr>
                              <w:jc w:val="center"/>
                              <w:rPr>
                                <w:b/>
                                <w:bCs/>
                                <w:color w:val="FF0000"/>
                              </w:rPr>
                            </w:pPr>
                            <w:r w:rsidRPr="00A40908">
                              <w:rPr>
                                <w:b/>
                                <w:bCs/>
                                <w:color w:val="FF000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0AFF" id="Rectangle 3" o:spid="_x0000_s1026" style="position:absolute;left:0;text-align:left;margin-left:-22.05pt;margin-top:1.95pt;width:86.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">
                <v:textbox>
                  <w:txbxContent>
                    <w:p w14:paraId="286740BF" w14:textId="77777777" w:rsidR="00D31EFE" w:rsidRPr="00A40908" w:rsidRDefault="00D31EFE" w:rsidP="00665C11">
                      <w:pPr>
                        <w:jc w:val="center"/>
                        <w:rPr>
                          <w:b/>
                          <w:bCs/>
                          <w:color w:val="FF0000"/>
                        </w:rPr>
                      </w:pPr>
                      <w:r w:rsidRPr="00A40908">
                        <w:rPr>
                          <w:b/>
                          <w:bCs/>
                          <w:color w:val="FF0000"/>
                        </w:rPr>
                        <w:t>DỰ THẢO</w:t>
                      </w:r>
                    </w:p>
                  </w:txbxContent>
                </v:textbox>
              </v:rect>
            </w:pict>
          </mc:Fallback>
        </mc:AlternateContent>
      </w:r>
      <w:r w:rsidR="00D31EFE" w:rsidRPr="00154B39">
        <w:rPr>
          <w:b/>
          <w:bCs/>
        </w:rPr>
        <w:t>BÁO CÁO</w:t>
      </w:r>
    </w:p>
    <w:p w14:paraId="2A430101" w14:textId="77777777" w:rsidR="00D31EFE" w:rsidRPr="00154B39" w:rsidRDefault="00D31EFE" w:rsidP="00FB6E30">
      <w:pPr>
        <w:widowControl w:val="0"/>
        <w:jc w:val="center"/>
        <w:rPr>
          <w:b/>
          <w:bCs/>
        </w:rPr>
      </w:pPr>
      <w:r w:rsidRPr="00154B39">
        <w:rPr>
          <w:b/>
          <w:bCs/>
        </w:rPr>
        <w:t>ĐÁNH GIÁ TÁC ĐỘNG CỦA CHÍNH SÁCH</w:t>
      </w:r>
    </w:p>
    <w:p w14:paraId="488E3C1A" w14:textId="207BE547" w:rsidR="001215DF" w:rsidRPr="001215DF" w:rsidRDefault="00D31EFE" w:rsidP="00FB6E30">
      <w:pPr>
        <w:widowControl w:val="0"/>
        <w:jc w:val="center"/>
        <w:rPr>
          <w:b/>
          <w:bCs/>
          <w:iCs/>
        </w:rPr>
      </w:pPr>
      <w:r w:rsidRPr="001215DF">
        <w:rPr>
          <w:b/>
          <w:bCs/>
          <w:iCs/>
        </w:rPr>
        <w:t xml:space="preserve">Dự thảo Nghị quyết </w:t>
      </w:r>
      <w:r w:rsidR="001215DF" w:rsidRPr="001215DF">
        <w:rPr>
          <w:b/>
          <w:bCs/>
          <w:iCs/>
        </w:rPr>
        <w:t>về chính sách hỗ trợ đầu tư xây dựng hạ tầng điện phục vụ điện sinh hoạt, các khu sản xuất tập trung, tiểu thủ công nghiệp, thủy sản, chăn nuôi trên địa bàn tỉnh Đồng Nai giai đoạn 2022-2025</w:t>
      </w:r>
    </w:p>
    <w:p w14:paraId="2C324DAA" w14:textId="77777777" w:rsidR="001215DF" w:rsidRDefault="001215DF" w:rsidP="00FB6E30">
      <w:pPr>
        <w:widowControl w:val="0"/>
        <w:jc w:val="center"/>
        <w:rPr>
          <w:b/>
          <w:bCs/>
        </w:rPr>
      </w:pPr>
    </w:p>
    <w:p w14:paraId="41C1E118" w14:textId="61382DB1" w:rsidR="00D31EFE" w:rsidRDefault="006063B2" w:rsidP="00FB6E30">
      <w:pPr>
        <w:widowControl w:val="0"/>
        <w:tabs>
          <w:tab w:val="right" w:leader="dot" w:pos="7920"/>
        </w:tabs>
        <w:spacing w:line="376" w:lineRule="exact"/>
        <w:jc w:val="center"/>
        <w:rPr>
          <w:b/>
        </w:rPr>
      </w:pPr>
      <w:r>
        <w:rPr>
          <w:b/>
          <w:noProof/>
        </w:rPr>
        <mc:AlternateContent>
          <mc:Choice Requires="wps">
            <w:drawing>
              <wp:anchor distT="0" distB="0" distL="114300" distR="114300" simplePos="0" relativeHeight="251663360" behindDoc="0" locked="0" layoutInCell="1" allowOverlap="1" wp14:anchorId="433DD696" wp14:editId="2A882937">
                <wp:simplePos x="0" y="0"/>
                <wp:positionH relativeFrom="column">
                  <wp:posOffset>2089785</wp:posOffset>
                </wp:positionH>
                <wp:positionV relativeFrom="paragraph">
                  <wp:posOffset>37465</wp:posOffset>
                </wp:positionV>
                <wp:extent cx="134493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1344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3ECDA3" id="Đường nối Thẳng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4.55pt,2.95pt" to="270.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" strokecolor="#4472c4 [3204]" strokeweight=".5pt">
                <v:stroke joinstyle="miter"/>
              </v:line>
            </w:pict>
          </mc:Fallback>
        </mc:AlternateContent>
      </w:r>
    </w:p>
    <w:p w14:paraId="018FB2F5" w14:textId="77777777" w:rsidR="00D31EFE" w:rsidRPr="00154B39" w:rsidRDefault="00D31EFE" w:rsidP="00FB6E30">
      <w:pPr>
        <w:widowControl w:val="0"/>
        <w:tabs>
          <w:tab w:val="right" w:leader="dot" w:pos="7920"/>
        </w:tabs>
        <w:spacing w:after="100"/>
        <w:ind w:firstLine="851"/>
        <w:jc w:val="both"/>
        <w:rPr>
          <w:b/>
        </w:rPr>
      </w:pPr>
      <w:r w:rsidRPr="00154B39">
        <w:rPr>
          <w:b/>
        </w:rPr>
        <w:t>I. XÁC ĐỊNH VẤN ĐỀ BẤT CẬP TỔNG QUAN</w:t>
      </w:r>
    </w:p>
    <w:p w14:paraId="00D10E7D" w14:textId="77777777" w:rsidR="00D31EFE" w:rsidRPr="00154B39" w:rsidRDefault="00D31EFE" w:rsidP="00FB6E30">
      <w:pPr>
        <w:widowControl w:val="0"/>
        <w:tabs>
          <w:tab w:val="right" w:leader="dot" w:pos="7920"/>
        </w:tabs>
        <w:spacing w:after="100"/>
        <w:ind w:firstLine="851"/>
        <w:jc w:val="both"/>
        <w:rPr>
          <w:b/>
        </w:rPr>
      </w:pPr>
      <w:r w:rsidRPr="00154B39">
        <w:rPr>
          <w:b/>
        </w:rPr>
        <w:t>1. Bối cảnh xây dựng chính sách</w:t>
      </w:r>
    </w:p>
    <w:p w14:paraId="005C7B0F" w14:textId="61264B59" w:rsidR="00C04065" w:rsidRPr="00C04065" w:rsidRDefault="00FF0394" w:rsidP="00C04065">
      <w:pPr>
        <w:widowControl w:val="0"/>
        <w:spacing w:after="120"/>
        <w:ind w:firstLine="851"/>
        <w:jc w:val="both"/>
      </w:pPr>
      <w:r>
        <w:t>Căn cứ điểm b Điều 1 Quyết định số 695/QĐ-TTg ngày 08/6/2012 của Thủ tướng Chính phủ sửa đổi nguyên tắc, cơ chế hỗ trợ vốn thực hiện Chương trình mục tiêu Quốc gia xây dựng nông thôn mới giai đoạn 2010 - 2020; Ủy ban nhân dân tỉnh trình Hội đồng nhân dân tỉnh ban hành Nghị quyết số 105/2013/NQHĐND ngày 06/12/2013 về việc quy định mức hỗ trợ vốn từ ngân sách nhà nước để thực hiện Chương trình mục tiêu quốc gia xây dựng nông thôn mới trên địa bàn tỉnh Đồng Nai giai đoạn 2014 -2020, trong đó bao gồm chính sách hỗ trợ đầu tư xây dựng hạ tầng điện phục vụ sinh hoạt, các khu sản xuất tập trung, tiểu thủ công nghiệp, thủy sản.</w:t>
      </w:r>
      <w:r w:rsidR="00AB710F">
        <w:t xml:space="preserve"> </w:t>
      </w:r>
      <w:r w:rsidR="00C04065" w:rsidRPr="00D6360F">
        <w:rPr>
          <w:bCs/>
          <w:lang w:val="nl-NL"/>
        </w:rPr>
        <w:t>Nghị quyết trên đã hết hiệu lực vào ngày 31/12/2020.</w:t>
      </w:r>
    </w:p>
    <w:p w14:paraId="583DBB9F" w14:textId="0D98DD5A" w:rsidR="00AB710F" w:rsidRDefault="00C04065" w:rsidP="00AB710F">
      <w:pPr>
        <w:spacing w:before="120" w:line="340" w:lineRule="exact"/>
        <w:ind w:firstLine="709"/>
        <w:jc w:val="both"/>
        <w:rPr>
          <w:bCs/>
          <w:lang w:val="nl-NL"/>
        </w:rPr>
      </w:pPr>
      <w:r w:rsidRPr="00D6360F">
        <w:rPr>
          <w:bCs/>
          <w:lang w:val="nl-NL"/>
        </w:rPr>
        <w:t xml:space="preserve">Do đến nay, Hội đồng nhân dân tỉnh chưa ban hành Nghị quyết, Ủy ban nhân dân tỉnh chưa ban hành Quyết định quy định mức hỗ trợ đầu tư </w:t>
      </w:r>
      <w:r w:rsidRPr="00D6360F">
        <w:rPr>
          <w:bCs/>
          <w:spacing w:val="-4"/>
          <w:lang w:val="nl-NL"/>
        </w:rPr>
        <w:t>xây dựng hạ tầng điện phục vụ điện sinh hoạt, các khu sản xuất tập trung, tiểu thủ công nghiệp, thủy sản trên địa bàn tỉnh Đồng Nai</w:t>
      </w:r>
      <w:r w:rsidRPr="00D6360F">
        <w:rPr>
          <w:bCs/>
          <w:lang w:val="nl-NL"/>
        </w:rPr>
        <w:t xml:space="preserve"> từ ngày 01/01/2021 đến nay không có cơ sở để triển khai thực hiện.</w:t>
      </w:r>
    </w:p>
    <w:p w14:paraId="79B40CC3" w14:textId="77777777" w:rsidR="00C04065" w:rsidRDefault="00C04065" w:rsidP="00C04065">
      <w:pPr>
        <w:spacing w:before="120" w:line="340" w:lineRule="exact"/>
        <w:ind w:firstLine="709"/>
        <w:jc w:val="both"/>
      </w:pPr>
      <w:bookmarkStart w:id="0" w:name="_Hlk97224967"/>
      <w:r>
        <w:t>Ngày 22/2/2022, Thủ tướng Chính phủ ban hành Quyết định số 263/QĐ-TTg về phê duyệt Chương trình mục tiêu quốc gia xây dựng nông thôn mới giai đoản 2021 – 2025.</w:t>
      </w:r>
      <w:r w:rsidRPr="003C3E7C">
        <w:t xml:space="preserve"> Theo đó, tại điểm b khoản 1 mục V Quyết định số 263/QĐ-TTg quy định cơ chế hỗ trợ một phần từ ngân sách nhà nước để thực hiện các nội dung, trong đó bao gồm hỗ trợ “</w:t>
      </w:r>
      <w:r w:rsidRPr="003C3E7C">
        <w:rPr>
          <w:i/>
          <w:iCs/>
        </w:rPr>
        <w:t>hệ thống lưới điện nông thôn, hạ tầng các khu sản xuất tập trung, tiểu thủ công nghiệp, thủy sản…</w:t>
      </w:r>
      <w:r w:rsidRPr="003C3E7C">
        <w:t>”. Tại điểm c khoản 2 mục VI Quyết định số 263/QĐ-TTg quy định trách nhiệm của Ủy ban nhân dân tỉnh, thành phố trực thuộc Trung ương “</w:t>
      </w:r>
      <w:r w:rsidRPr="003C3E7C">
        <w:rPr>
          <w:i/>
          <w:iCs/>
        </w:rPr>
        <w:t>Ban hành cơ chế, chính sách, hướng dẫn tổ chức triển khai Chương trình trên địa bàn tỉnh theo thẩm quyền, nhiệm vụ được giao…</w:t>
      </w:r>
      <w:r w:rsidRPr="003C3E7C">
        <w:t>”</w:t>
      </w:r>
      <w:r>
        <w:t>.</w:t>
      </w:r>
    </w:p>
    <w:p w14:paraId="0B5A9366" w14:textId="77777777" w:rsidR="00C04065" w:rsidRPr="003C3E7C" w:rsidRDefault="00C04065" w:rsidP="00C04065">
      <w:pPr>
        <w:spacing w:before="120" w:line="340" w:lineRule="exact"/>
        <w:ind w:firstLine="709"/>
        <w:jc w:val="both"/>
        <w:rPr>
          <w:bCs/>
          <w:lang w:val="nl-NL"/>
        </w:rPr>
      </w:pPr>
      <w:r>
        <w:t xml:space="preserve">Tuy nhiên, căn cứ khoản 9 Điều 30 Luật Ngân sách nhà nước năm 2015 và 2 khoản 2 Điều 21 Nghị định số 163/2016/NĐ-CP ngày 21/12/2016 của Chính </w:t>
      </w:r>
      <w:r>
        <w:lastRenderedPageBreak/>
        <w:t>phủ quy định chi tiết thi hành một số điều của Luật Ngân sách nhà nước, trong đó việc quy định chế độ, chính sách thuộc thẩm quyền của Hội đồng nhân dân tỉnh, thành phố trực thuộc trung ương quyết định.</w:t>
      </w:r>
    </w:p>
    <w:bookmarkEnd w:id="0"/>
    <w:p w14:paraId="2CD55B97" w14:textId="77777777" w:rsidR="00C04065" w:rsidRPr="00D6360F" w:rsidRDefault="00C04065" w:rsidP="00C04065">
      <w:pPr>
        <w:spacing w:before="120" w:line="340" w:lineRule="exact"/>
        <w:ind w:firstLine="709"/>
        <w:jc w:val="both"/>
        <w:rPr>
          <w:bCs/>
          <w:lang w:val="nl-NL"/>
        </w:rPr>
      </w:pPr>
      <w:r w:rsidRPr="00D6360F">
        <w:rPr>
          <w:bCs/>
          <w:lang w:val="nl-NL"/>
        </w:rPr>
        <w:t xml:space="preserve">Để tiếp tục thực hiện xây dựng nông thôn mới nâng cao, nâng thôn mới kiểu mẫu và phát triển hạ tầng kinh tế - xã hội trên địa bàn tỉnh Đồng Nai trong thời gian tới một cách hiệu quả. </w:t>
      </w:r>
    </w:p>
    <w:p w14:paraId="102777CA" w14:textId="1C117D04" w:rsidR="00C04065" w:rsidRPr="00D6360F" w:rsidRDefault="00C04065" w:rsidP="00C04065">
      <w:pPr>
        <w:spacing w:before="120" w:line="340" w:lineRule="exact"/>
        <w:ind w:firstLine="709"/>
        <w:jc w:val="both"/>
        <w:rPr>
          <w:bCs/>
          <w:lang w:val="nl-NL"/>
        </w:rPr>
      </w:pPr>
      <w:r w:rsidRPr="00D6360F">
        <w:rPr>
          <w:bCs/>
          <w:lang w:val="nl-NL"/>
        </w:rPr>
        <w:t xml:space="preserve">Từ những quy định nêu trên, Ủy ban nhân dân tỉnh trình Hội đồng nhân dân tỉnh ban hành Nghị quyết </w:t>
      </w:r>
      <w:r w:rsidRPr="00D6360F">
        <w:rPr>
          <w:bCs/>
          <w:spacing w:val="-4"/>
          <w:lang w:val="nl-NL"/>
        </w:rPr>
        <w:t>chính sách hỗ trợ đầu tư xây dựng hạ tầng điện phục vụ điện sinh hoạt, các khu sản xuất tập trung, tiểu thủ công nghiệp, thủy sản</w:t>
      </w:r>
      <w:r w:rsidR="00E059FC">
        <w:rPr>
          <w:bCs/>
          <w:spacing w:val="-4"/>
          <w:lang w:val="nl-NL"/>
        </w:rPr>
        <w:t>, chăn nuôi</w:t>
      </w:r>
      <w:r w:rsidRPr="00D6360F">
        <w:rPr>
          <w:bCs/>
          <w:spacing w:val="-4"/>
          <w:lang w:val="nl-NL"/>
        </w:rPr>
        <w:t xml:space="preserve"> trên địa bàn tỉnh Đồng Nai</w:t>
      </w:r>
      <w:r w:rsidRPr="00D6360F">
        <w:rPr>
          <w:bCs/>
          <w:lang w:val="nl-NL"/>
        </w:rPr>
        <w:t xml:space="preserve"> giai đoạn 2022-2025 là cần thiết và phù hợp với tình hình thực tế tại địa phương.</w:t>
      </w:r>
    </w:p>
    <w:p w14:paraId="0E2801A0" w14:textId="1E9BBF5C" w:rsidR="00C04065" w:rsidRDefault="00AB710F" w:rsidP="00FB6E30">
      <w:pPr>
        <w:widowControl w:val="0"/>
        <w:spacing w:after="120"/>
        <w:ind w:firstLine="851"/>
        <w:jc w:val="both"/>
        <w:rPr>
          <w:b/>
        </w:rPr>
      </w:pPr>
      <w:r>
        <w:rPr>
          <w:b/>
        </w:rPr>
        <w:t>2</w:t>
      </w:r>
      <w:r w:rsidRPr="00154B39">
        <w:rPr>
          <w:b/>
        </w:rPr>
        <w:t xml:space="preserve">. </w:t>
      </w:r>
      <w:r>
        <w:rPr>
          <w:b/>
        </w:rPr>
        <w:t>Mục tiêu</w:t>
      </w:r>
      <w:r w:rsidRPr="00154B39">
        <w:rPr>
          <w:b/>
        </w:rPr>
        <w:t xml:space="preserve"> xây dựng chính sách</w:t>
      </w:r>
    </w:p>
    <w:p w14:paraId="5808F3D4" w14:textId="508A1BFE" w:rsidR="00AB710F" w:rsidRPr="00AB710F" w:rsidRDefault="00AB710F" w:rsidP="00FB6E30">
      <w:pPr>
        <w:widowControl w:val="0"/>
        <w:spacing w:after="120"/>
        <w:ind w:firstLine="851"/>
        <w:jc w:val="both"/>
        <w:rPr>
          <w:bCs/>
        </w:rPr>
      </w:pPr>
      <w:r w:rsidRPr="00AB710F">
        <w:rPr>
          <w:bCs/>
        </w:rPr>
        <w:t xml:space="preserve">Nghị quyết này xây dựng là cơ sở pháp lý để áp dụng </w:t>
      </w:r>
      <w:r w:rsidRPr="00D6360F">
        <w:rPr>
          <w:bCs/>
          <w:spacing w:val="-4"/>
          <w:lang w:val="nl-NL"/>
        </w:rPr>
        <w:t>chính sách hỗ trợ đầu tư xây dựng hạ tầng điện phục vụ điện sinh hoạt, các khu sản xuất tập trung, tiểu thủ công nghiệp, thủy sản trên địa bàn tỉnh Đồng Nai</w:t>
      </w:r>
      <w:r w:rsidR="002E59D0">
        <w:rPr>
          <w:bCs/>
          <w:spacing w:val="-4"/>
          <w:lang w:val="nl-NL"/>
        </w:rPr>
        <w:t>.</w:t>
      </w:r>
    </w:p>
    <w:p w14:paraId="4F1F3E0C" w14:textId="3719EEDA" w:rsidR="00C04065" w:rsidRPr="00AB710F" w:rsidRDefault="00AB710F" w:rsidP="00AB710F">
      <w:pPr>
        <w:widowControl w:val="0"/>
        <w:tabs>
          <w:tab w:val="right" w:leader="dot" w:pos="7920"/>
        </w:tabs>
        <w:spacing w:after="100"/>
        <w:ind w:firstLine="851"/>
        <w:jc w:val="both"/>
        <w:rPr>
          <w:b/>
        </w:rPr>
      </w:pPr>
      <w:r w:rsidRPr="00AB710F">
        <w:rPr>
          <w:b/>
        </w:rPr>
        <w:t>II. ĐÁNH GIÁ TÁC ĐỘNG CỦA CHÍNH SÁCH</w:t>
      </w:r>
    </w:p>
    <w:p w14:paraId="0E91EF9E" w14:textId="40FA24D5" w:rsidR="00C04065" w:rsidRDefault="002E59D0" w:rsidP="002E59D0">
      <w:pPr>
        <w:widowControl w:val="0"/>
        <w:spacing w:after="120"/>
        <w:ind w:left="131" w:firstLine="720"/>
        <w:jc w:val="both"/>
        <w:rPr>
          <w:b/>
        </w:rPr>
      </w:pPr>
      <w:r>
        <w:rPr>
          <w:b/>
        </w:rPr>
        <w:t xml:space="preserve">1. </w:t>
      </w:r>
      <w:r w:rsidRPr="002E59D0">
        <w:rPr>
          <w:b/>
        </w:rPr>
        <w:t>Xác định vấn đề bất cập</w:t>
      </w:r>
    </w:p>
    <w:p w14:paraId="4C45CC91" w14:textId="1FC3C980" w:rsidR="003773A3" w:rsidRPr="00C04065" w:rsidRDefault="003773A3" w:rsidP="003773A3">
      <w:pPr>
        <w:widowControl w:val="0"/>
        <w:spacing w:after="120"/>
        <w:ind w:firstLine="851"/>
        <w:jc w:val="both"/>
      </w:pPr>
      <w:r>
        <w:t xml:space="preserve">Trên cơ sở Quyết định số 695/QĐ-TTg ngày 08/6/2012 của Thủ tướng Chính phủ sửa đổi nguyên tắc, cơ chế hỗ trợ vốn thực hiện Chương trình mục tiêu Quốc gia xây dựng nông thôn mới giai đoạn 2010 - 2020; Ủy ban nhân dân tỉnh trình Hội đồng nhân dân tỉnh ban hành Nghị quyết số 105/2013/NQHĐND ngày 06/12/2013 về việc quy định mức hỗ trợ vốn từ ngân sách nhà nước để thực hiện Chương trình mục tiêu quốc gia xây dựng nông thôn mới trên địa bàn tỉnh Đồng Nai giai đoạn 2014 -2020, trong đó bao gồm chính sách hỗ trợ đầu tư xây dựng hạ tầng điện phục vụ sinh hoạt, các khu sản xuất tập trung, tiểu thủ công nghiệp, thủy sản. </w:t>
      </w:r>
      <w:r w:rsidRPr="00D6360F">
        <w:rPr>
          <w:bCs/>
          <w:lang w:val="nl-NL"/>
        </w:rPr>
        <w:t>Nghị quyết trên đã hết hiệu lực vào ngày 31/12/2020.</w:t>
      </w:r>
    </w:p>
    <w:p w14:paraId="2CC5C678" w14:textId="77777777" w:rsidR="003773A3" w:rsidRDefault="003773A3" w:rsidP="003773A3">
      <w:pPr>
        <w:spacing w:before="120" w:line="340" w:lineRule="exact"/>
        <w:ind w:firstLine="709"/>
        <w:jc w:val="both"/>
        <w:rPr>
          <w:bCs/>
          <w:lang w:val="nl-NL"/>
        </w:rPr>
      </w:pPr>
      <w:r w:rsidRPr="00D6360F">
        <w:rPr>
          <w:bCs/>
          <w:lang w:val="nl-NL"/>
        </w:rPr>
        <w:t xml:space="preserve">Do đến nay, Hội đồng nhân dân tỉnh chưa ban hành Nghị quyết, Ủy ban nhân dân tỉnh chưa ban hành Quyết định quy định mức hỗ trợ đầu tư </w:t>
      </w:r>
      <w:r w:rsidRPr="00D6360F">
        <w:rPr>
          <w:bCs/>
          <w:spacing w:val="-4"/>
          <w:lang w:val="nl-NL"/>
        </w:rPr>
        <w:t>xây dựng hạ tầng điện phục vụ điện sinh hoạt, các khu sản xuất tập trung, tiểu thủ công nghiệp, thủy sản trên địa bàn tỉnh Đồng Nai</w:t>
      </w:r>
      <w:r w:rsidRPr="00D6360F">
        <w:rPr>
          <w:bCs/>
          <w:lang w:val="nl-NL"/>
        </w:rPr>
        <w:t xml:space="preserve"> từ ngày 01/01/2021 đến nay không có cơ sở để triển khai thực hiện.</w:t>
      </w:r>
    </w:p>
    <w:p w14:paraId="5763C908" w14:textId="511C0D1C" w:rsidR="003773A3" w:rsidRDefault="003773A3" w:rsidP="002E59D0">
      <w:pPr>
        <w:widowControl w:val="0"/>
        <w:spacing w:after="120"/>
        <w:ind w:left="131" w:firstLine="720"/>
        <w:jc w:val="both"/>
        <w:rPr>
          <w:b/>
        </w:rPr>
      </w:pPr>
      <w:r>
        <w:rPr>
          <w:b/>
        </w:rPr>
        <w:t xml:space="preserve">2. </w:t>
      </w:r>
      <w:r w:rsidRPr="009803CF">
        <w:rPr>
          <w:b/>
        </w:rPr>
        <w:t>Mục tiêu giải quyết vấn đề</w:t>
      </w:r>
    </w:p>
    <w:p w14:paraId="07B8DE0A" w14:textId="28AEA67F" w:rsidR="003773A3" w:rsidRPr="009803CF" w:rsidRDefault="003773A3" w:rsidP="003773A3">
      <w:pPr>
        <w:spacing w:before="120" w:after="120"/>
        <w:ind w:firstLine="720"/>
        <w:jc w:val="both"/>
      </w:pPr>
      <w:r w:rsidRPr="009803CF">
        <w:t xml:space="preserve">- Đảm bảo quy định và là cơ sở pháp lý để áp dụng </w:t>
      </w:r>
      <w:r w:rsidR="00E059FC" w:rsidRPr="00D6360F">
        <w:rPr>
          <w:bCs/>
          <w:spacing w:val="-4"/>
          <w:lang w:val="nl-NL"/>
        </w:rPr>
        <w:t>chính sách hỗ trợ đầu tư xây dựng hạ tầng điện phục vụ điện sinh hoạt, các khu sản xuất tập trung, tiểu thủ công nghiệp, thủy sản</w:t>
      </w:r>
      <w:r w:rsidR="00127DED">
        <w:rPr>
          <w:bCs/>
          <w:spacing w:val="-4"/>
          <w:lang w:val="nl-NL"/>
        </w:rPr>
        <w:t>, chăn nuôi</w:t>
      </w:r>
      <w:r w:rsidR="00E059FC" w:rsidRPr="00D6360F">
        <w:rPr>
          <w:bCs/>
          <w:spacing w:val="-4"/>
          <w:lang w:val="nl-NL"/>
        </w:rPr>
        <w:t xml:space="preserve"> trên địa bàn tỉnh Đồng Nai</w:t>
      </w:r>
      <w:r w:rsidRPr="009803CF">
        <w:rPr>
          <w:spacing w:val="-6"/>
          <w:lang w:val="en"/>
        </w:rPr>
        <w:t>.</w:t>
      </w:r>
    </w:p>
    <w:p w14:paraId="5A2AEA1E" w14:textId="77777777" w:rsidR="003773A3" w:rsidRPr="009803CF" w:rsidRDefault="003773A3" w:rsidP="003773A3">
      <w:pPr>
        <w:spacing w:before="120" w:after="120"/>
        <w:ind w:firstLine="720"/>
        <w:jc w:val="both"/>
      </w:pPr>
      <w:r w:rsidRPr="009803CF">
        <w:t>- Đảm bảo việc thực hiện đúng quy trình, đúng theo pháp luật theo chỉ đạo của Thủ tướng Chính phủ và căn cứ vào tình hình thực tế tại địa phương.</w:t>
      </w:r>
    </w:p>
    <w:p w14:paraId="108875B7" w14:textId="41FB70EA" w:rsidR="003773A3" w:rsidRDefault="00E059FC" w:rsidP="002E59D0">
      <w:pPr>
        <w:widowControl w:val="0"/>
        <w:spacing w:after="120"/>
        <w:ind w:left="131" w:firstLine="720"/>
        <w:jc w:val="both"/>
        <w:rPr>
          <w:b/>
        </w:rPr>
      </w:pPr>
      <w:r>
        <w:rPr>
          <w:b/>
        </w:rPr>
        <w:t xml:space="preserve">3. </w:t>
      </w:r>
      <w:r w:rsidRPr="009803CF">
        <w:rPr>
          <w:b/>
        </w:rPr>
        <w:t>Giải pháp đề xuất giải quyết vấn đề</w:t>
      </w:r>
    </w:p>
    <w:p w14:paraId="185CE19A" w14:textId="70F9548F" w:rsidR="00FB3D71" w:rsidRDefault="00FB3D71" w:rsidP="00FB3D71">
      <w:pPr>
        <w:spacing w:before="120" w:line="340" w:lineRule="exact"/>
        <w:ind w:left="131" w:firstLine="720"/>
        <w:jc w:val="both"/>
      </w:pPr>
      <w:r>
        <w:lastRenderedPageBreak/>
        <w:t>Căn cứ Quyết định số 263/QĐ-TTg về phê duyệt Chương trình mục tiêu quốc gia xây dựng nông thôn mới giai đoản 2021 – 2025.</w:t>
      </w:r>
      <w:r w:rsidRPr="003C3E7C">
        <w:t xml:space="preserve"> Theo đó, tại điểm b khoản 1 mục V Quyết định số 263/QĐ-TTg quy định cơ chế hỗ trợ một phần từ ngân sách nhà nước để thực hiện các nội dung, trong đó bao gồm hỗ trợ “</w:t>
      </w:r>
      <w:r w:rsidRPr="003C3E7C">
        <w:rPr>
          <w:i/>
          <w:iCs/>
        </w:rPr>
        <w:t>hệ thống lưới điện nông thôn, hạ tầng các khu sản xuất tập trung, tiểu thủ công nghiệp, thủy sản…</w:t>
      </w:r>
      <w:r w:rsidRPr="003C3E7C">
        <w:t>”. Tại điểm c khoản 2 mục VI Quyết định số 263/QĐ-TTg quy định trách nhiệm của Ủy ban nhân dân tỉnh, thành phố trực thuộc Trung ương “</w:t>
      </w:r>
      <w:r w:rsidRPr="003C3E7C">
        <w:rPr>
          <w:i/>
          <w:iCs/>
        </w:rPr>
        <w:t>Ban hành cơ chế, chính sách, hướng dẫn tổ chức triển khai Chương trình trên địa bàn tỉnh theo thẩm quyền, nhiệm vụ được giao…</w:t>
      </w:r>
      <w:r w:rsidRPr="003C3E7C">
        <w:t>”</w:t>
      </w:r>
      <w:r>
        <w:t xml:space="preserve">. </w:t>
      </w:r>
    </w:p>
    <w:p w14:paraId="3F44CDD7" w14:textId="4D9997AF" w:rsidR="00FB3D71" w:rsidRDefault="00FB3D71" w:rsidP="00FB3D71">
      <w:pPr>
        <w:spacing w:before="120" w:line="340" w:lineRule="exact"/>
        <w:ind w:firstLine="709"/>
        <w:jc w:val="both"/>
      </w:pPr>
      <w:r>
        <w:t xml:space="preserve">Tuy nhiên, căn cứ khoản 9 Điều 30 Luật Ngân sách nhà nước năm 2015 và 2 khoản 2 Điều 21 Nghị định số 163/2016/NĐ-CP ngày 21/12/2016 của Chính phủ quy định chi tiết thi hành một số điều của Luật Ngân sách nhà nước, trong đó việc quy định chế độ, chính sách thuộc thẩm quyền của Hội đồng nhân dân tỉnh, thành phố trực thuộc trung ương quyết định. </w:t>
      </w:r>
    </w:p>
    <w:p w14:paraId="5C55CB74" w14:textId="79851574" w:rsidR="00FB3D71" w:rsidRPr="00D6360F" w:rsidRDefault="00421973" w:rsidP="00FB3D71">
      <w:pPr>
        <w:spacing w:before="120" w:line="340" w:lineRule="exact"/>
        <w:ind w:firstLine="709"/>
        <w:jc w:val="both"/>
        <w:rPr>
          <w:bCs/>
          <w:lang w:val="nl-NL"/>
        </w:rPr>
      </w:pPr>
      <w:r>
        <w:rPr>
          <w:bCs/>
          <w:lang w:val="nl-NL"/>
        </w:rPr>
        <w:t>Từ tình hình thực tế</w:t>
      </w:r>
      <w:r w:rsidR="00FB3D71">
        <w:rPr>
          <w:bCs/>
          <w:lang w:val="nl-NL"/>
        </w:rPr>
        <w:t xml:space="preserve"> trên, </w:t>
      </w:r>
      <w:r w:rsidR="00FB3D71" w:rsidRPr="00D6360F">
        <w:rPr>
          <w:bCs/>
          <w:lang w:val="nl-NL"/>
        </w:rPr>
        <w:t xml:space="preserve">Ủy ban nhân dân tỉnh trình Hội đồng nhân dân tỉnh ban hành Nghị quyết </w:t>
      </w:r>
      <w:r w:rsidR="00FB3D71" w:rsidRPr="00D6360F">
        <w:rPr>
          <w:bCs/>
          <w:spacing w:val="-4"/>
          <w:lang w:val="nl-NL"/>
        </w:rPr>
        <w:t>chính sách hỗ trợ đầu tư xây dựng hạ tầng điện phục vụ điện sinh hoạt, các khu sản xuất tập trung, tiểu thủ công nghiệp, thủy sản</w:t>
      </w:r>
      <w:r w:rsidR="00FB3D71">
        <w:rPr>
          <w:bCs/>
          <w:spacing w:val="-4"/>
          <w:lang w:val="nl-NL"/>
        </w:rPr>
        <w:t>, chăn nuôi</w:t>
      </w:r>
      <w:r w:rsidR="00FB3D71" w:rsidRPr="00D6360F">
        <w:rPr>
          <w:bCs/>
          <w:spacing w:val="-4"/>
          <w:lang w:val="nl-NL"/>
        </w:rPr>
        <w:t xml:space="preserve"> trên địa bàn tỉnh Đồng Nai</w:t>
      </w:r>
      <w:r w:rsidR="00FB3D71" w:rsidRPr="00D6360F">
        <w:rPr>
          <w:bCs/>
          <w:lang w:val="nl-NL"/>
        </w:rPr>
        <w:t xml:space="preserve"> giai đoạn 2022-2025 là cần thiết và phù hợp với tình hình thực tế tại địa phương.</w:t>
      </w:r>
    </w:p>
    <w:p w14:paraId="14337252" w14:textId="6EE0217C" w:rsidR="00E059FC" w:rsidRPr="00E059FC" w:rsidRDefault="00E059FC" w:rsidP="001D6821">
      <w:pPr>
        <w:spacing w:before="120" w:line="340" w:lineRule="exact"/>
        <w:ind w:left="131" w:firstLine="720"/>
        <w:jc w:val="both"/>
        <w:rPr>
          <w:b/>
        </w:rPr>
      </w:pPr>
      <w:r w:rsidRPr="00E059FC">
        <w:rPr>
          <w:b/>
        </w:rPr>
        <w:t xml:space="preserve">4. </w:t>
      </w:r>
      <w:r w:rsidRPr="009803CF">
        <w:rPr>
          <w:b/>
        </w:rPr>
        <w:t>Đánh giá tác động của các giải pháp đối với đối tượng chịu sự tác động trực tiếp của chính sách và các đối tượng khác có liên quan</w:t>
      </w:r>
    </w:p>
    <w:p w14:paraId="04EAC8A1" w14:textId="153E5AF0" w:rsidR="00C04065" w:rsidRPr="00D6360F" w:rsidRDefault="00C04065" w:rsidP="001D6821">
      <w:pPr>
        <w:spacing w:before="120" w:line="340" w:lineRule="exact"/>
        <w:ind w:left="131" w:firstLine="720"/>
        <w:jc w:val="both"/>
        <w:rPr>
          <w:b/>
          <w:bCs/>
          <w:lang w:val="nl-NL"/>
        </w:rPr>
      </w:pPr>
      <w:r w:rsidRPr="00D6360F">
        <w:rPr>
          <w:lang w:val="nl-NL"/>
        </w:rPr>
        <w:t>Kết quả thực hiện Nghị quyết 105/2013/NQ-HĐND ngày 06/12/2013 của HĐND tỉnh về việc</w:t>
      </w:r>
      <w:r w:rsidRPr="00D6360F">
        <w:rPr>
          <w:b/>
          <w:bCs/>
          <w:lang w:val="nl-NL"/>
        </w:rPr>
        <w:t xml:space="preserve"> </w:t>
      </w:r>
      <w:r w:rsidRPr="00D6360F">
        <w:rPr>
          <w:bCs/>
          <w:lang w:val="nl-NL"/>
        </w:rPr>
        <w:t>quy định mức hỗ từ ngân sách nhà nước để thực hiện Chương trình mục tiêu quốc gia xây dựng nông thôn mới trên địa bàn tỉnh Đồng Nai giai đoạn 2014-2020</w:t>
      </w:r>
      <w:r>
        <w:rPr>
          <w:bCs/>
          <w:lang w:val="nl-NL"/>
        </w:rPr>
        <w:t>.</w:t>
      </w:r>
    </w:p>
    <w:p w14:paraId="3E1F8149" w14:textId="77777777" w:rsidR="00C04065" w:rsidRPr="00C04065" w:rsidRDefault="00C04065" w:rsidP="00C04065">
      <w:pPr>
        <w:pStyle w:val="BodyText"/>
        <w:spacing w:before="120" w:line="340" w:lineRule="exact"/>
        <w:ind w:firstLine="567"/>
        <w:jc w:val="both"/>
        <w:rPr>
          <w:noProof w:val="0"/>
          <w:sz w:val="28"/>
          <w:szCs w:val="28"/>
          <w:lang w:eastAsia="en-US"/>
        </w:rPr>
      </w:pPr>
      <w:r w:rsidRPr="00C04065">
        <w:rPr>
          <w:noProof w:val="0"/>
          <w:sz w:val="28"/>
          <w:szCs w:val="28"/>
          <w:lang w:eastAsia="en-US"/>
        </w:rPr>
        <w:t>Trên cơ sở Nghị quyết của Hội đồng nhân dân tỉnh, Quyết định của UBND tỉnh về thực hiện chính sách. Hằng năm UBND tỉnh giao Sở Công thương chủ trì phối hợp với Sở Tài chính, Công ty TNHH MTV Điện lực Đồng Nai và các địa phương xây dựng kế hoạch, tham mưu UBND tỉnh chấp thuận chủ trương hỗ trợ đầu tư xây dựng hạ tầng điện phục vụ điện sinh hoạt, các khu sản xuất tập trung, tiểu thủ công nghiệp, thủy sản, chăn nuôi để thực hiện Chương trình mục tiêu quốc gia xây dựng nông thôn mới trên địa bàn tỉnh Đồng Nai và tình hình đầu tư trong giai đoạn 2014-2020 như sau:</w:t>
      </w:r>
    </w:p>
    <w:p w14:paraId="59AF9B38" w14:textId="77777777" w:rsidR="00C04065" w:rsidRPr="00C04065" w:rsidRDefault="00C04065" w:rsidP="00C04065">
      <w:pPr>
        <w:pStyle w:val="BodyText"/>
        <w:spacing w:before="120" w:line="340" w:lineRule="exact"/>
        <w:ind w:firstLine="567"/>
        <w:rPr>
          <w:noProof w:val="0"/>
          <w:sz w:val="28"/>
          <w:szCs w:val="28"/>
          <w:lang w:eastAsia="en-US"/>
        </w:rPr>
      </w:pPr>
      <w:r w:rsidRPr="00C04065">
        <w:rPr>
          <w:noProof w:val="0"/>
          <w:sz w:val="28"/>
          <w:szCs w:val="28"/>
          <w:lang w:eastAsia="en-US"/>
        </w:rPr>
        <w:t>- Trong giai đoạn 2014-2020, ngành điện đã thực hiện đầu tư được 194,099 km đường dây trung thế nâng cấp từ 1 pha lên 3 pha, 125,061 km đường dây trung thế 1 pha, 274,955 km đường dây trung thế 3 pha và 597 trạm biến áp với tổng dung lượng 74.623 kVA.</w:t>
      </w:r>
    </w:p>
    <w:p w14:paraId="40E29B0B" w14:textId="77777777" w:rsidR="00C04065" w:rsidRPr="00C04065" w:rsidRDefault="00C04065" w:rsidP="00C04065">
      <w:pPr>
        <w:pStyle w:val="BodyText"/>
        <w:spacing w:before="120" w:line="340" w:lineRule="exact"/>
        <w:ind w:firstLine="567"/>
        <w:rPr>
          <w:noProof w:val="0"/>
          <w:sz w:val="28"/>
          <w:szCs w:val="28"/>
          <w:lang w:eastAsia="en-US"/>
        </w:rPr>
      </w:pPr>
      <w:r w:rsidRPr="00C04065">
        <w:rPr>
          <w:noProof w:val="0"/>
          <w:sz w:val="28"/>
          <w:szCs w:val="28"/>
          <w:lang w:eastAsia="en-US"/>
        </w:rPr>
        <w:t xml:space="preserve">- Các công trình được đầu tư phục vụ mục đích sinh hoạt, chăn nuôi và sản xuất tập trung cho nhân dân tại các vùng nông thôn góp phần làm thay đổi bộ </w:t>
      </w:r>
      <w:r w:rsidRPr="00C04065">
        <w:rPr>
          <w:noProof w:val="0"/>
          <w:sz w:val="28"/>
          <w:szCs w:val="28"/>
          <w:lang w:eastAsia="en-US"/>
        </w:rPr>
        <w:lastRenderedPageBreak/>
        <w:t xml:space="preserve">mặt nông thôn, phát triển sản xuất nông nghiệp và không ngừng nâng cao đời sống vật chất, tinh thần của người dân ở nông thôn. </w:t>
      </w:r>
    </w:p>
    <w:p w14:paraId="5062DDD2" w14:textId="77777777" w:rsidR="00C04065" w:rsidRPr="00C04065" w:rsidRDefault="00C04065" w:rsidP="00C04065">
      <w:pPr>
        <w:pStyle w:val="BodyText"/>
        <w:spacing w:before="120" w:line="340" w:lineRule="exact"/>
        <w:ind w:firstLine="567"/>
        <w:rPr>
          <w:noProof w:val="0"/>
          <w:sz w:val="28"/>
          <w:szCs w:val="28"/>
          <w:lang w:eastAsia="en-US"/>
        </w:rPr>
      </w:pPr>
      <w:r w:rsidRPr="00C04065">
        <w:rPr>
          <w:noProof w:val="0"/>
          <w:sz w:val="28"/>
          <w:szCs w:val="28"/>
          <w:lang w:eastAsia="en-US"/>
        </w:rPr>
        <w:t xml:space="preserve">- Tổng nguồn vốn thực hiện từ năm 2014-2020 như sau: </w:t>
      </w:r>
    </w:p>
    <w:p w14:paraId="7BE49F8C" w14:textId="77777777" w:rsidR="00C04065" w:rsidRPr="00C04065" w:rsidRDefault="00C04065" w:rsidP="00C04065">
      <w:pPr>
        <w:pStyle w:val="BodyText"/>
        <w:spacing w:before="120" w:line="340" w:lineRule="exact"/>
        <w:ind w:firstLine="567"/>
        <w:rPr>
          <w:noProof w:val="0"/>
          <w:sz w:val="28"/>
          <w:szCs w:val="28"/>
          <w:lang w:eastAsia="en-US"/>
        </w:rPr>
      </w:pPr>
      <w:r w:rsidRPr="00C04065">
        <w:rPr>
          <w:noProof w:val="0"/>
          <w:sz w:val="28"/>
          <w:szCs w:val="28"/>
          <w:lang w:eastAsia="en-US"/>
        </w:rPr>
        <w:t>+ Tổng giá trị đầu tư là 314.705 triệu đồng, vốn vay ưu đãi là 302.721 triệu đồng, vốn tự có là 11.984 triệu đồng, đã trả nợ là 121.244 triệu đồng, trả lãi vay là 42.3678 triệu đồng, còn nợ là 183.031 triệu đồng.</w:t>
      </w:r>
    </w:p>
    <w:p w14:paraId="0CC9AB09" w14:textId="77777777" w:rsidR="00C04065" w:rsidRPr="00C04065" w:rsidRDefault="00C04065" w:rsidP="00C04065">
      <w:pPr>
        <w:pStyle w:val="BodyText"/>
        <w:spacing w:before="120" w:line="340" w:lineRule="exact"/>
        <w:ind w:firstLine="567"/>
        <w:rPr>
          <w:noProof w:val="0"/>
          <w:sz w:val="28"/>
          <w:szCs w:val="28"/>
          <w:lang w:eastAsia="en-US"/>
        </w:rPr>
      </w:pPr>
      <w:r w:rsidRPr="00C04065">
        <w:rPr>
          <w:noProof w:val="0"/>
          <w:sz w:val="28"/>
          <w:szCs w:val="28"/>
          <w:lang w:eastAsia="en-US"/>
        </w:rPr>
        <w:t>+ Phần ngân sách tỉnh cấp bù chênh lệch lãi suất cho vay từ năm 2015-2020 là 23.550 triệu đồng.</w:t>
      </w:r>
    </w:p>
    <w:p w14:paraId="1E41A5F6" w14:textId="77777777" w:rsidR="003773A3" w:rsidRPr="003773A3" w:rsidRDefault="003773A3" w:rsidP="003773A3">
      <w:pPr>
        <w:pStyle w:val="BodyText"/>
        <w:spacing w:before="120" w:line="340" w:lineRule="exact"/>
        <w:ind w:firstLine="567"/>
        <w:rPr>
          <w:noProof w:val="0"/>
          <w:sz w:val="28"/>
          <w:szCs w:val="28"/>
          <w:lang w:val="nl-NL" w:eastAsia="en-US"/>
        </w:rPr>
      </w:pPr>
      <w:r w:rsidRPr="003773A3">
        <w:rPr>
          <w:noProof w:val="0"/>
          <w:sz w:val="28"/>
          <w:szCs w:val="28"/>
          <w:lang w:val="nl-NL" w:eastAsia="en-US"/>
        </w:rPr>
        <w:t xml:space="preserve">* Kết quả đạt được: </w:t>
      </w:r>
    </w:p>
    <w:p w14:paraId="5788866A" w14:textId="77777777" w:rsidR="003773A3" w:rsidRPr="003773A3" w:rsidRDefault="003773A3" w:rsidP="003773A3">
      <w:pPr>
        <w:pStyle w:val="BodyText"/>
        <w:spacing w:before="120" w:line="340" w:lineRule="exact"/>
        <w:ind w:firstLine="567"/>
        <w:rPr>
          <w:noProof w:val="0"/>
          <w:sz w:val="28"/>
          <w:szCs w:val="28"/>
          <w:lang w:val="nl-NL" w:eastAsia="en-US"/>
        </w:rPr>
      </w:pPr>
      <w:r w:rsidRPr="003773A3">
        <w:rPr>
          <w:noProof w:val="0"/>
          <w:sz w:val="28"/>
          <w:szCs w:val="28"/>
          <w:lang w:val="nl-NL" w:eastAsia="en-US"/>
        </w:rPr>
        <w:t>Từ chính sách hỗ trợ từ nguồn ngân sách nhà nước hỗ trợ ngành điện vay vốn ưu đãi để đầu tư lưới điện trung thế nông thôn tại Nghị quyết số 105/2013/NQ-HĐND ngày 06/12/2013 của HĐND tỉnh kết hợp với nguồn vốn xã hội hoá được các địa phương huy động đầu tư lưới điện hạ thế đã đem lại những kết quả cụ thể như sau:</w:t>
      </w:r>
    </w:p>
    <w:p w14:paraId="2B996541" w14:textId="77777777" w:rsidR="003773A3" w:rsidRPr="003773A3" w:rsidRDefault="003773A3" w:rsidP="003773A3">
      <w:pPr>
        <w:pStyle w:val="BodyText"/>
        <w:spacing w:before="120" w:line="340" w:lineRule="exact"/>
        <w:ind w:firstLine="567"/>
        <w:rPr>
          <w:noProof w:val="0"/>
          <w:sz w:val="28"/>
          <w:szCs w:val="28"/>
          <w:lang w:val="nl-NL" w:eastAsia="en-US"/>
        </w:rPr>
      </w:pPr>
      <w:r w:rsidRPr="003773A3">
        <w:rPr>
          <w:noProof w:val="0"/>
          <w:sz w:val="28"/>
          <w:szCs w:val="28"/>
          <w:lang w:val="nl-NL" w:eastAsia="en-US"/>
        </w:rPr>
        <w:t xml:space="preserve">- Tỷ lệ hộ có điện lưới Quốc gia nông thôn đến cuối năm 2020 đạt 99,93%, nâng tỷ lệ hộ có điện lưới Quốc gia toàn tỉnh đạt 99,96%. </w:t>
      </w:r>
    </w:p>
    <w:p w14:paraId="36CE32CD" w14:textId="77777777" w:rsidR="003773A3" w:rsidRPr="003773A3" w:rsidRDefault="003773A3" w:rsidP="003773A3">
      <w:pPr>
        <w:pStyle w:val="BodyText"/>
        <w:spacing w:before="120" w:line="340" w:lineRule="exact"/>
        <w:ind w:firstLine="567"/>
        <w:rPr>
          <w:noProof w:val="0"/>
          <w:sz w:val="28"/>
          <w:szCs w:val="28"/>
          <w:lang w:val="nl-NL" w:eastAsia="en-US"/>
        </w:rPr>
      </w:pPr>
      <w:r w:rsidRPr="003773A3">
        <w:rPr>
          <w:noProof w:val="0"/>
          <w:sz w:val="28"/>
          <w:szCs w:val="28"/>
          <w:lang w:val="nl-NL" w:eastAsia="en-US"/>
        </w:rPr>
        <w:t xml:space="preserve">- Hoàn thành Chương trình thực hiện mục tiêu Quốc gia xây dựng nông thôn mới trên địa bàn tỉnh Đồng Nai. Năm 2018, tỉnh Đồng Nai có 100% các đơn vị cấp huyện, cấp xã đạt chuẩn nông thôn mới. Năm 2019, tỉnh Đồng Nai hoàn thành nhiệm vụ xây dựng NTM, về đích sớm 2 năm so với mục tiêu ban đầu đề ra. </w:t>
      </w:r>
    </w:p>
    <w:p w14:paraId="1F7FA131" w14:textId="77777777" w:rsidR="003773A3" w:rsidRPr="003773A3" w:rsidRDefault="003773A3" w:rsidP="003773A3">
      <w:pPr>
        <w:pStyle w:val="BodyText"/>
        <w:spacing w:before="120" w:line="340" w:lineRule="exact"/>
        <w:ind w:firstLine="567"/>
        <w:rPr>
          <w:noProof w:val="0"/>
          <w:sz w:val="28"/>
          <w:szCs w:val="28"/>
          <w:lang w:val="nl-NL" w:eastAsia="en-US"/>
        </w:rPr>
      </w:pPr>
      <w:r w:rsidRPr="003773A3">
        <w:rPr>
          <w:noProof w:val="0"/>
          <w:sz w:val="28"/>
          <w:szCs w:val="28"/>
          <w:lang w:val="nl-NL" w:eastAsia="en-US"/>
        </w:rPr>
        <w:t>- Thay đổi bộ mặt nông thôn, phát triển sản xuất nông nghiệp và không ngừng nâng cao đời sống vật chất, tinh thần của người dân ở nông thôn.</w:t>
      </w:r>
    </w:p>
    <w:p w14:paraId="7E57898C" w14:textId="77777777" w:rsidR="003773A3" w:rsidRPr="003773A3" w:rsidRDefault="003773A3" w:rsidP="003773A3">
      <w:pPr>
        <w:pStyle w:val="BodyText"/>
        <w:spacing w:before="120" w:line="340" w:lineRule="exact"/>
        <w:ind w:firstLine="567"/>
        <w:rPr>
          <w:noProof w:val="0"/>
          <w:sz w:val="28"/>
          <w:szCs w:val="28"/>
          <w:lang w:val="nl-NL" w:eastAsia="en-US"/>
        </w:rPr>
      </w:pPr>
      <w:r w:rsidRPr="003773A3">
        <w:rPr>
          <w:noProof w:val="0"/>
          <w:sz w:val="28"/>
          <w:szCs w:val="28"/>
          <w:lang w:val="nl-NL" w:eastAsia="en-US"/>
        </w:rPr>
        <w:t>- Với hạ tầng lưới điện được đầu tư, tỉnh đã tập trung đẩy mạnh ứng dụng tiến bộ khoa học kỹ thuật vào sản xuất nông nghiệp, theo đó sản xuất nông nghiệp của tỉnh tiếp tục phát triển bền vững; trong đó, đã xuất hiện những mô hình sản xuất nông nghiệp hàng hóa và cánh đồng lớn, tiêu biểu trên cả nước, mang lại hiệu quả kinh tế và thu nhập cao; với tốc độ tăng trưởng bình quân của giá trị sản xuất nông – lâm - thuỷ sản ước đạt 3,6%/năm trong giai đoạn 2016-2020, trong đó giá trị sản xuất nông nghiệp giai đoạn này tăng 3,1%.</w:t>
      </w:r>
    </w:p>
    <w:p w14:paraId="7F44BB43" w14:textId="77777777" w:rsidR="003773A3" w:rsidRPr="003773A3" w:rsidRDefault="003773A3" w:rsidP="003773A3">
      <w:pPr>
        <w:pStyle w:val="BodyText"/>
        <w:spacing w:before="120" w:line="340" w:lineRule="exact"/>
        <w:ind w:firstLine="567"/>
        <w:rPr>
          <w:noProof w:val="0"/>
          <w:sz w:val="28"/>
          <w:szCs w:val="28"/>
          <w:lang w:val="nl-NL" w:eastAsia="en-US"/>
        </w:rPr>
      </w:pPr>
      <w:r w:rsidRPr="003773A3">
        <w:rPr>
          <w:noProof w:val="0"/>
          <w:sz w:val="28"/>
          <w:szCs w:val="28"/>
          <w:lang w:val="nl-NL" w:eastAsia="en-US"/>
        </w:rPr>
        <w:t>- Hạ tầng lưới điện được đầu tư kịp thời nên phát triển các khu chăn nuôi tập trung, đẩy mạnh tổ chức sản xuất chăn nuôi theo chuỗi liên kết và an toàn sinh học. Góp phần thực hiện tái cơ cấu ngành chăn nuôi, hướng tới hiện đại hóa, bền vững.</w:t>
      </w:r>
    </w:p>
    <w:p w14:paraId="0AD0FFD7" w14:textId="77777777" w:rsidR="003773A3" w:rsidRPr="003773A3" w:rsidRDefault="003773A3" w:rsidP="003773A3">
      <w:pPr>
        <w:pStyle w:val="BodyText"/>
        <w:spacing w:before="120" w:line="340" w:lineRule="exact"/>
        <w:ind w:firstLine="567"/>
        <w:rPr>
          <w:noProof w:val="0"/>
          <w:sz w:val="28"/>
          <w:szCs w:val="28"/>
          <w:lang w:val="nl-NL" w:eastAsia="en-US"/>
        </w:rPr>
      </w:pPr>
      <w:r w:rsidRPr="003773A3">
        <w:rPr>
          <w:noProof w:val="0"/>
          <w:sz w:val="28"/>
          <w:szCs w:val="28"/>
          <w:lang w:val="nl-NL" w:eastAsia="en-US"/>
        </w:rPr>
        <w:t xml:space="preserve"> - Là nền tảng để tỉnh Đồng Nai tiếp tục thực hiện duy trì, giữ vững kết quả đạt chuẩn nông thôn mới của giai đoạn trước, đẩy mạnh phát triển nông thôn mới nâng cao, nông thôn mới kiểu mẫu, đảm bảo nông thôn phát triển ổn định và bền vững, dần tiến tới nông thôn mới giàu có, văn minh và hiện đại. </w:t>
      </w:r>
    </w:p>
    <w:p w14:paraId="0EF39062" w14:textId="77777777" w:rsidR="003773A3" w:rsidRPr="003773A3" w:rsidRDefault="003773A3" w:rsidP="003773A3">
      <w:pPr>
        <w:pStyle w:val="BodyText"/>
        <w:spacing w:before="120" w:line="340" w:lineRule="exact"/>
        <w:ind w:firstLine="567"/>
        <w:rPr>
          <w:noProof w:val="0"/>
          <w:sz w:val="28"/>
          <w:szCs w:val="28"/>
          <w:lang w:val="nl-NL" w:eastAsia="en-US"/>
        </w:rPr>
      </w:pPr>
      <w:r w:rsidRPr="003773A3">
        <w:rPr>
          <w:noProof w:val="0"/>
          <w:sz w:val="28"/>
          <w:szCs w:val="28"/>
          <w:lang w:val="nl-NL" w:eastAsia="en-US"/>
        </w:rPr>
        <w:lastRenderedPageBreak/>
        <w:t>* Khó khăn vướng mắc:</w:t>
      </w:r>
    </w:p>
    <w:p w14:paraId="30F6B8B3" w14:textId="77777777" w:rsidR="003773A3" w:rsidRPr="003773A3" w:rsidRDefault="003773A3" w:rsidP="003773A3">
      <w:pPr>
        <w:spacing w:before="120" w:line="340" w:lineRule="exact"/>
        <w:ind w:firstLine="567"/>
        <w:jc w:val="both"/>
        <w:rPr>
          <w:lang w:val="nl-NL"/>
        </w:rPr>
      </w:pPr>
      <w:r w:rsidRPr="003773A3">
        <w:rPr>
          <w:lang w:val="nl-NL"/>
        </w:rPr>
        <w:t>- Với các dự án đầu tư cho khu vực nông thôn hiện nay thường có vốn đầu tư lớn, phụ tải thì nhỏ, doanh thu không đủ bù đắp được chi phí; có trường hợp, dự án đạt hiệu quả kinh tế-xã hội, nhưng không đạt hiệu quả tài chính.</w:t>
      </w:r>
    </w:p>
    <w:p w14:paraId="04186E3E" w14:textId="77777777" w:rsidR="003773A3" w:rsidRPr="003773A3" w:rsidRDefault="003773A3" w:rsidP="003773A3">
      <w:pPr>
        <w:spacing w:before="120" w:line="340" w:lineRule="exact"/>
        <w:ind w:firstLine="567"/>
        <w:jc w:val="both"/>
        <w:rPr>
          <w:lang w:val="nl-NL"/>
        </w:rPr>
      </w:pPr>
      <w:r w:rsidRPr="003773A3">
        <w:rPr>
          <w:lang w:val="nl-NL"/>
        </w:rPr>
        <w:t>- Công trình điện nông thôn phục vụ sinh hoạt với mục đích là an sinh xã hội; tuy nhiên, với mức lãi suất áp dụng cho vay ưu đãi là 6,9% (được áp dụng từ năm 2011 đến nay), trong khi đó Quỹ Đầu tư Phát triển tỉnh cho các doanh nghiệp trong tỉnh vay đầu tư dự án lãi suất vay chỉ có 7% (từ năm 2016 đến nay), với chênh lệch lãi suất cho vay này chưa có sự ưu đãi cho vay đầu tư lưới điện nông thôn phục vụ sinh hoạt.</w:t>
      </w:r>
    </w:p>
    <w:p w14:paraId="3849F161" w14:textId="77777777" w:rsidR="003773A3" w:rsidRPr="003773A3" w:rsidRDefault="003773A3" w:rsidP="003773A3">
      <w:pPr>
        <w:spacing w:before="120" w:line="340" w:lineRule="exact"/>
        <w:ind w:firstLine="720"/>
        <w:jc w:val="both"/>
        <w:rPr>
          <w:lang w:val="nl-NL"/>
        </w:rPr>
      </w:pPr>
      <w:r w:rsidRPr="003773A3">
        <w:rPr>
          <w:lang w:val="nl-NL"/>
        </w:rPr>
        <w:t>- Một số khu vực có đường giao thông nhỏ, không có qui hoạch lộ giới nông thôn cho việc xây dựng cơ sở hạ tầng kỹ thuật. Điều này đã ảnh hưởng đến việc triển khai thi công các công trình điện.</w:t>
      </w:r>
    </w:p>
    <w:p w14:paraId="07BDDA34" w14:textId="77777777" w:rsidR="003773A3" w:rsidRPr="003773A3" w:rsidRDefault="003773A3" w:rsidP="003773A3">
      <w:pPr>
        <w:spacing w:before="120" w:line="340" w:lineRule="exact"/>
        <w:ind w:firstLine="720"/>
        <w:jc w:val="both"/>
        <w:rPr>
          <w:lang w:val="nl-NL"/>
        </w:rPr>
      </w:pPr>
      <w:r w:rsidRPr="003773A3">
        <w:rPr>
          <w:lang w:val="nl-NL"/>
        </w:rPr>
        <w:t>- Các vùng chuyên canh sản xuất chưa được quy hoạch đồng bộ còn mang tính tự phát, vì vậy đã ảnh hưởng nhiều đến việc cung cấp điện. Mặt khác, để thu hút nhà đầu tư, một số vùng được phê duyệt quy hoạch và theo đó điện - đường được đầu tư, nhưng khi cơ sở hạ tầng được xây dựng thì đồng thời giá đất tăng cao; vì vậy không thu hút được nhà đầu tư nên không phát huy được hiệu quả của việc xây dựng hạ tầng kỹ thuật trong đó có lưới điện.</w:t>
      </w:r>
    </w:p>
    <w:p w14:paraId="1968A6B4" w14:textId="16657DF6" w:rsidR="003773A3" w:rsidRPr="003773A3" w:rsidRDefault="003773A3" w:rsidP="003773A3">
      <w:pPr>
        <w:spacing w:before="120" w:line="340" w:lineRule="exact"/>
        <w:ind w:firstLine="720"/>
        <w:jc w:val="both"/>
        <w:rPr>
          <w:lang w:val="nl-NL"/>
        </w:rPr>
      </w:pPr>
      <w:r w:rsidRPr="003773A3">
        <w:rPr>
          <w:lang w:val="nl-NL"/>
        </w:rPr>
        <w:t>- Có sự không đồng bộ về thời gian đầu tư lưới điện trung thế (do ngành điện đầu tư) và hạ thế do địa phương và nhân dân thực hiện đầu tư nên chưa phát huy hết được hiệu quả một số công trình. Cụ thể, kế hoạch từ 2014-2018 vẫn còn 35 TBA chưa được đóng điện (trong đó có 04 TBA đang thi công và 31 TBA địa phương chưa hoàn tất thủ tục lựa chọn nhà thầu thi công (đang phê duyệt B</w:t>
      </w:r>
      <w:r w:rsidR="003455A8">
        <w:rPr>
          <w:lang w:val="nl-NL"/>
        </w:rPr>
        <w:t>áo cáo kinh tế kỹ thuật</w:t>
      </w:r>
      <w:r w:rsidRPr="003773A3">
        <w:rPr>
          <w:lang w:val="nl-NL"/>
        </w:rPr>
        <w:t xml:space="preserve"> hoặc lập </w:t>
      </w:r>
      <w:r w:rsidR="003455A8" w:rsidRPr="003773A3">
        <w:rPr>
          <w:lang w:val="nl-NL"/>
        </w:rPr>
        <w:t>B</w:t>
      </w:r>
      <w:r w:rsidR="003455A8">
        <w:rPr>
          <w:lang w:val="nl-NL"/>
        </w:rPr>
        <w:t>áo cáo kinh tế kỹ thuật</w:t>
      </w:r>
      <w:r w:rsidRPr="003773A3">
        <w:rPr>
          <w:lang w:val="nl-NL"/>
        </w:rPr>
        <w:t xml:space="preserve"> hoặc đang họp dân .v.v…).</w:t>
      </w:r>
    </w:p>
    <w:p w14:paraId="5ED00880" w14:textId="77777777" w:rsidR="003773A3" w:rsidRPr="003773A3" w:rsidRDefault="003773A3" w:rsidP="003773A3">
      <w:pPr>
        <w:spacing w:before="120" w:line="340" w:lineRule="exact"/>
        <w:ind w:firstLine="720"/>
        <w:jc w:val="both"/>
        <w:rPr>
          <w:lang w:val="nl-NL"/>
        </w:rPr>
      </w:pPr>
      <w:r w:rsidRPr="003773A3">
        <w:rPr>
          <w:lang w:val="nl-NL"/>
        </w:rPr>
        <w:t>b) Dự kiến nguồn vốn đầu tư giai đoạn 2022-2025</w:t>
      </w:r>
    </w:p>
    <w:p w14:paraId="6DE310C8" w14:textId="77777777" w:rsidR="003773A3" w:rsidRPr="003773A3" w:rsidRDefault="003773A3" w:rsidP="003773A3">
      <w:pPr>
        <w:spacing w:before="120" w:line="340" w:lineRule="exact"/>
        <w:ind w:firstLine="720"/>
        <w:jc w:val="both"/>
        <w:rPr>
          <w:lang w:val="nl-NL"/>
        </w:rPr>
      </w:pPr>
      <w:r w:rsidRPr="003773A3">
        <w:rPr>
          <w:lang w:val="nl-NL"/>
        </w:rPr>
        <w:t>Căn cứ mục tiêu, nhiệm vụ, giải pháp xây dựng nông thôn mới tỉnh Đồng Nai giai đoạn năm 2021-2025 tại Kế hoạch số 8264/KH-UBND ngày 19/7/2021 của UBND tỉnh. Sở Công Thương triển khai đến các địa phương để đăng ký nhu cầu đầu tư điện nông thôn cho giai đoạn 2022-2025 đảm bảo hoàn thành mục tiêu đến năm 2025 toàn tỉnh có 100% số xã đạt chuẩn nông thôn mới nâng cao, 35% số xã đạt chuẩn nông thôn mới kiểu mẫu và các địa phương cấp huyện hoàn thành nông thôn mới nâng cao. Với vai trò là trụ cột của nền kinh tế, là nhân tố quan trọng thúc đẩy sản xuất và góp phần hoàn thành mục tiêu xây dựng nông thôn mới nâng cao, nông thôn mới kiểu mẫu và phát triển hạ tầng kinh tế xã hội trên địa bàn tỉnh thì nhu cầu tiếp tục đầu tư hạ tầng điện nông thôn đảm bảo cung cấp điện ổn định, an toàn, nâng cao chất lượng điện năng là hết sức cấp thiết.</w:t>
      </w:r>
    </w:p>
    <w:p w14:paraId="3B07B348" w14:textId="77777777" w:rsidR="003773A3" w:rsidRPr="003773A3" w:rsidRDefault="003773A3" w:rsidP="003773A3">
      <w:pPr>
        <w:spacing w:before="120" w:line="340" w:lineRule="exact"/>
        <w:ind w:firstLine="720"/>
        <w:jc w:val="both"/>
        <w:rPr>
          <w:lang w:val="nl-NL"/>
        </w:rPr>
      </w:pPr>
      <w:r w:rsidRPr="003773A3">
        <w:rPr>
          <w:lang w:val="nl-NL"/>
        </w:rPr>
        <w:t xml:space="preserve">Trên cơ sở nhu cầu đầu tư điện trung thế nông thôn giai đoạn 2022-2025, dự kiến tổng mức đầu tư khoảng 385.532 triệu đồng, vốn vay khoảng 308.426 </w:t>
      </w:r>
      <w:r w:rsidRPr="003773A3">
        <w:rPr>
          <w:lang w:val="nl-NL"/>
        </w:rPr>
        <w:lastRenderedPageBreak/>
        <w:t>triệu đồng, vốn tự có của đơn vị khoảng 77.106 triệu đồng. Dự kiến ngân sách bù lãi suất cho vay khoảng 70.167 triệu đồng từ năm 2023 đến năm 2034 (trong đó từ 2023 đến hết năm 2025 là khoảng 31.385 triệu đồng). Cụ thể khối lượng đầu tư của từng địa phương như sau:</w:t>
      </w:r>
    </w:p>
    <w:p w14:paraId="317596EA" w14:textId="77777777" w:rsidR="003773A3" w:rsidRPr="00D6360F" w:rsidRDefault="003773A3" w:rsidP="003773A3">
      <w:pPr>
        <w:spacing w:before="120" w:line="200" w:lineRule="exact"/>
        <w:ind w:firstLine="720"/>
        <w:jc w:val="both"/>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94"/>
        <w:gridCol w:w="1384"/>
        <w:gridCol w:w="1276"/>
        <w:gridCol w:w="1134"/>
        <w:gridCol w:w="1276"/>
        <w:gridCol w:w="1860"/>
      </w:tblGrid>
      <w:tr w:rsidR="003773A3" w:rsidRPr="00D6360F" w14:paraId="3E227C27" w14:textId="77777777" w:rsidTr="008168AC">
        <w:tc>
          <w:tcPr>
            <w:tcW w:w="674" w:type="dxa"/>
            <w:vMerge w:val="restart"/>
            <w:shd w:val="clear" w:color="auto" w:fill="auto"/>
            <w:vAlign w:val="center"/>
          </w:tcPr>
          <w:p w14:paraId="072B6CF9" w14:textId="77777777" w:rsidR="003773A3" w:rsidRPr="00D6360F" w:rsidRDefault="003773A3" w:rsidP="008168AC">
            <w:pPr>
              <w:pStyle w:val="BodyText"/>
              <w:jc w:val="center"/>
              <w:rPr>
                <w:b/>
              </w:rPr>
            </w:pPr>
            <w:r w:rsidRPr="00D6360F">
              <w:rPr>
                <w:b/>
              </w:rPr>
              <w:t>STT</w:t>
            </w:r>
          </w:p>
        </w:tc>
        <w:tc>
          <w:tcPr>
            <w:tcW w:w="1594" w:type="dxa"/>
            <w:vMerge w:val="restart"/>
            <w:shd w:val="clear" w:color="auto" w:fill="auto"/>
            <w:vAlign w:val="center"/>
          </w:tcPr>
          <w:p w14:paraId="28003765" w14:textId="77777777" w:rsidR="003773A3" w:rsidRPr="00D6360F" w:rsidRDefault="003773A3" w:rsidP="008168AC">
            <w:pPr>
              <w:pStyle w:val="BodyText"/>
              <w:jc w:val="center"/>
              <w:rPr>
                <w:b/>
              </w:rPr>
            </w:pPr>
            <w:r w:rsidRPr="00D6360F">
              <w:rPr>
                <w:b/>
              </w:rPr>
              <w:t>Địa phương</w:t>
            </w:r>
          </w:p>
        </w:tc>
        <w:tc>
          <w:tcPr>
            <w:tcW w:w="5070" w:type="dxa"/>
            <w:gridSpan w:val="4"/>
            <w:vAlign w:val="center"/>
          </w:tcPr>
          <w:p w14:paraId="2B59D43E" w14:textId="77777777" w:rsidR="003773A3" w:rsidRPr="00D6360F" w:rsidRDefault="003773A3" w:rsidP="008168AC">
            <w:pPr>
              <w:pStyle w:val="BodyText"/>
              <w:jc w:val="center"/>
              <w:rPr>
                <w:b/>
                <w:lang w:val="vi-VN"/>
              </w:rPr>
            </w:pPr>
            <w:r w:rsidRPr="00D6360F">
              <w:rPr>
                <w:b/>
                <w:lang w:val="vi-VN"/>
              </w:rPr>
              <w:t>Khối lượng đăng ký đầu tư</w:t>
            </w:r>
          </w:p>
        </w:tc>
        <w:tc>
          <w:tcPr>
            <w:tcW w:w="1860" w:type="dxa"/>
            <w:vMerge w:val="restart"/>
            <w:vAlign w:val="center"/>
          </w:tcPr>
          <w:p w14:paraId="30300AFE" w14:textId="77777777" w:rsidR="003773A3" w:rsidRPr="00D6360F" w:rsidRDefault="003773A3" w:rsidP="008168AC">
            <w:pPr>
              <w:pStyle w:val="BodyText"/>
              <w:jc w:val="center"/>
              <w:rPr>
                <w:b/>
                <w:lang w:val="vi-VN"/>
              </w:rPr>
            </w:pPr>
            <w:r w:rsidRPr="00D6360F">
              <w:rPr>
                <w:b/>
              </w:rPr>
              <w:t>Dự</w:t>
            </w:r>
            <w:r w:rsidRPr="00D6360F">
              <w:rPr>
                <w:b/>
                <w:lang w:val="vi-VN"/>
              </w:rPr>
              <w:t xml:space="preserve"> kiến tổng mức đầu tư (triệu đồng)</w:t>
            </w:r>
          </w:p>
        </w:tc>
      </w:tr>
      <w:tr w:rsidR="003773A3" w:rsidRPr="00D6360F" w14:paraId="2267FF19" w14:textId="77777777" w:rsidTr="008168AC">
        <w:tc>
          <w:tcPr>
            <w:tcW w:w="674" w:type="dxa"/>
            <w:vMerge/>
            <w:shd w:val="clear" w:color="auto" w:fill="auto"/>
            <w:vAlign w:val="center"/>
          </w:tcPr>
          <w:p w14:paraId="4C01C1C1" w14:textId="77777777" w:rsidR="003773A3" w:rsidRPr="00D6360F" w:rsidRDefault="003773A3" w:rsidP="008168AC">
            <w:pPr>
              <w:pStyle w:val="BodyText"/>
              <w:jc w:val="center"/>
              <w:rPr>
                <w:b/>
              </w:rPr>
            </w:pPr>
          </w:p>
        </w:tc>
        <w:tc>
          <w:tcPr>
            <w:tcW w:w="1594" w:type="dxa"/>
            <w:vMerge/>
            <w:shd w:val="clear" w:color="auto" w:fill="auto"/>
            <w:vAlign w:val="center"/>
          </w:tcPr>
          <w:p w14:paraId="7A72DDEE" w14:textId="77777777" w:rsidR="003773A3" w:rsidRPr="00D6360F" w:rsidRDefault="003773A3" w:rsidP="008168AC">
            <w:pPr>
              <w:pStyle w:val="BodyText"/>
              <w:jc w:val="center"/>
              <w:rPr>
                <w:b/>
              </w:rPr>
            </w:pPr>
          </w:p>
        </w:tc>
        <w:tc>
          <w:tcPr>
            <w:tcW w:w="1384" w:type="dxa"/>
            <w:vAlign w:val="center"/>
          </w:tcPr>
          <w:p w14:paraId="23B8E4FB" w14:textId="77777777" w:rsidR="003773A3" w:rsidRPr="00D6360F" w:rsidRDefault="003773A3" w:rsidP="008168AC">
            <w:pPr>
              <w:pStyle w:val="BodyText"/>
              <w:jc w:val="center"/>
              <w:rPr>
                <w:b/>
                <w:lang w:val="vi-VN"/>
              </w:rPr>
            </w:pPr>
            <w:r w:rsidRPr="00D6360F">
              <w:rPr>
                <w:b/>
              </w:rPr>
              <w:t>Nâng</w:t>
            </w:r>
            <w:r w:rsidRPr="00D6360F">
              <w:rPr>
                <w:b/>
                <w:lang w:val="vi-VN"/>
              </w:rPr>
              <w:t xml:space="preserve"> cấp đường dây 1 pha lên 3 pha (km)</w:t>
            </w:r>
          </w:p>
        </w:tc>
        <w:tc>
          <w:tcPr>
            <w:tcW w:w="1276" w:type="dxa"/>
            <w:vAlign w:val="center"/>
          </w:tcPr>
          <w:p w14:paraId="07352BDB" w14:textId="77777777" w:rsidR="003773A3" w:rsidRPr="00D6360F" w:rsidRDefault="003773A3" w:rsidP="008168AC">
            <w:pPr>
              <w:pStyle w:val="BodyText"/>
              <w:jc w:val="center"/>
              <w:rPr>
                <w:b/>
                <w:lang w:val="vi-VN"/>
              </w:rPr>
            </w:pPr>
            <w:r w:rsidRPr="00D6360F">
              <w:rPr>
                <w:b/>
              </w:rPr>
              <w:t>Đường</w:t>
            </w:r>
            <w:r w:rsidRPr="00D6360F">
              <w:rPr>
                <w:b/>
                <w:lang w:val="vi-VN"/>
              </w:rPr>
              <w:t xml:space="preserve"> dây 1 pha (km)</w:t>
            </w:r>
          </w:p>
        </w:tc>
        <w:tc>
          <w:tcPr>
            <w:tcW w:w="1134" w:type="dxa"/>
            <w:vAlign w:val="center"/>
          </w:tcPr>
          <w:p w14:paraId="1DE02CA7" w14:textId="77777777" w:rsidR="003773A3" w:rsidRPr="00D6360F" w:rsidRDefault="003773A3" w:rsidP="008168AC">
            <w:pPr>
              <w:pStyle w:val="BodyText"/>
              <w:jc w:val="center"/>
              <w:rPr>
                <w:b/>
                <w:lang w:val="vi-VN"/>
              </w:rPr>
            </w:pPr>
            <w:r w:rsidRPr="00D6360F">
              <w:rPr>
                <w:b/>
              </w:rPr>
              <w:t>Đường</w:t>
            </w:r>
            <w:r w:rsidRPr="00D6360F">
              <w:rPr>
                <w:b/>
                <w:lang w:val="vi-VN"/>
              </w:rPr>
              <w:t xml:space="preserve"> dây 3 pha</w:t>
            </w:r>
            <w:r w:rsidRPr="00D6360F">
              <w:rPr>
                <w:b/>
              </w:rPr>
              <w:t xml:space="preserve"> </w:t>
            </w:r>
            <w:r w:rsidRPr="00D6360F">
              <w:rPr>
                <w:b/>
                <w:lang w:val="vi-VN"/>
              </w:rPr>
              <w:t>(km)</w:t>
            </w:r>
          </w:p>
        </w:tc>
        <w:tc>
          <w:tcPr>
            <w:tcW w:w="1276" w:type="dxa"/>
            <w:shd w:val="clear" w:color="auto" w:fill="auto"/>
            <w:vAlign w:val="center"/>
          </w:tcPr>
          <w:p w14:paraId="3C1DD012" w14:textId="77777777" w:rsidR="003773A3" w:rsidRPr="00D6360F" w:rsidRDefault="003773A3" w:rsidP="008168AC">
            <w:pPr>
              <w:pStyle w:val="BodyText"/>
              <w:jc w:val="center"/>
              <w:rPr>
                <w:b/>
                <w:lang w:val="vi-VN"/>
              </w:rPr>
            </w:pPr>
            <w:r w:rsidRPr="00D6360F">
              <w:rPr>
                <w:b/>
              </w:rPr>
              <w:t>Trạm</w:t>
            </w:r>
            <w:r w:rsidRPr="00D6360F">
              <w:rPr>
                <w:b/>
                <w:lang w:val="vi-VN"/>
              </w:rPr>
              <w:t xml:space="preserve"> biến áp (kva)</w:t>
            </w:r>
          </w:p>
        </w:tc>
        <w:tc>
          <w:tcPr>
            <w:tcW w:w="1860" w:type="dxa"/>
            <w:vMerge/>
          </w:tcPr>
          <w:p w14:paraId="5EC40E5D" w14:textId="77777777" w:rsidR="003773A3" w:rsidRPr="00D6360F" w:rsidRDefault="003773A3" w:rsidP="008168AC">
            <w:pPr>
              <w:pStyle w:val="BodyText"/>
              <w:jc w:val="center"/>
              <w:rPr>
                <w:b/>
              </w:rPr>
            </w:pPr>
          </w:p>
        </w:tc>
      </w:tr>
      <w:tr w:rsidR="003773A3" w:rsidRPr="00D6360F" w14:paraId="4D166B23" w14:textId="77777777" w:rsidTr="008168AC">
        <w:tc>
          <w:tcPr>
            <w:tcW w:w="674" w:type="dxa"/>
            <w:shd w:val="clear" w:color="auto" w:fill="auto"/>
            <w:vAlign w:val="center"/>
          </w:tcPr>
          <w:p w14:paraId="0AB2187C" w14:textId="77777777" w:rsidR="003773A3" w:rsidRPr="00D6360F" w:rsidRDefault="003773A3" w:rsidP="008168AC">
            <w:pPr>
              <w:pStyle w:val="BodyText"/>
              <w:jc w:val="center"/>
              <w:rPr>
                <w:b/>
              </w:rPr>
            </w:pPr>
            <w:r w:rsidRPr="00D6360F">
              <w:rPr>
                <w:b/>
              </w:rPr>
              <w:t>1</w:t>
            </w:r>
          </w:p>
        </w:tc>
        <w:tc>
          <w:tcPr>
            <w:tcW w:w="1594" w:type="dxa"/>
            <w:shd w:val="clear" w:color="auto" w:fill="auto"/>
            <w:vAlign w:val="center"/>
          </w:tcPr>
          <w:p w14:paraId="6D61FB93" w14:textId="77777777" w:rsidR="003773A3" w:rsidRPr="00D6360F" w:rsidRDefault="003773A3" w:rsidP="008168AC">
            <w:pPr>
              <w:pStyle w:val="BodyText"/>
              <w:jc w:val="center"/>
              <w:rPr>
                <w:bCs/>
              </w:rPr>
            </w:pPr>
            <w:r w:rsidRPr="00D6360F">
              <w:rPr>
                <w:bCs/>
              </w:rPr>
              <w:t>Xuân Lộc</w:t>
            </w:r>
          </w:p>
        </w:tc>
        <w:tc>
          <w:tcPr>
            <w:tcW w:w="1384" w:type="dxa"/>
            <w:vAlign w:val="center"/>
          </w:tcPr>
          <w:p w14:paraId="62FD2EE3" w14:textId="77777777" w:rsidR="003773A3" w:rsidRPr="00D6360F" w:rsidRDefault="003773A3" w:rsidP="008168AC">
            <w:pPr>
              <w:pStyle w:val="BodyText"/>
              <w:jc w:val="center"/>
              <w:rPr>
                <w:bCs/>
              </w:rPr>
            </w:pPr>
            <w:r w:rsidRPr="00D6360F">
              <w:rPr>
                <w:bCs/>
              </w:rPr>
              <w:t>10,55</w:t>
            </w:r>
          </w:p>
        </w:tc>
        <w:tc>
          <w:tcPr>
            <w:tcW w:w="1276" w:type="dxa"/>
            <w:vAlign w:val="center"/>
          </w:tcPr>
          <w:p w14:paraId="25FC974E" w14:textId="77777777" w:rsidR="003773A3" w:rsidRPr="00D6360F" w:rsidRDefault="003773A3" w:rsidP="008168AC">
            <w:pPr>
              <w:pStyle w:val="BodyText"/>
              <w:jc w:val="center"/>
              <w:rPr>
                <w:bCs/>
              </w:rPr>
            </w:pPr>
            <w:r w:rsidRPr="00D6360F">
              <w:rPr>
                <w:bCs/>
              </w:rPr>
              <w:t>11,9</w:t>
            </w:r>
          </w:p>
        </w:tc>
        <w:tc>
          <w:tcPr>
            <w:tcW w:w="1134" w:type="dxa"/>
            <w:vAlign w:val="center"/>
          </w:tcPr>
          <w:p w14:paraId="664540D5" w14:textId="77777777" w:rsidR="003773A3" w:rsidRPr="00D6360F" w:rsidRDefault="003773A3" w:rsidP="008168AC">
            <w:pPr>
              <w:pStyle w:val="BodyText"/>
              <w:jc w:val="center"/>
              <w:rPr>
                <w:bCs/>
              </w:rPr>
            </w:pPr>
            <w:r w:rsidRPr="00D6360F">
              <w:rPr>
                <w:bCs/>
              </w:rPr>
              <w:t>30,4</w:t>
            </w:r>
          </w:p>
        </w:tc>
        <w:tc>
          <w:tcPr>
            <w:tcW w:w="1276" w:type="dxa"/>
            <w:shd w:val="clear" w:color="auto" w:fill="auto"/>
            <w:vAlign w:val="center"/>
          </w:tcPr>
          <w:p w14:paraId="09D51FBF" w14:textId="77777777" w:rsidR="003773A3" w:rsidRPr="00D6360F" w:rsidRDefault="003773A3" w:rsidP="008168AC">
            <w:pPr>
              <w:pStyle w:val="BodyText"/>
              <w:jc w:val="center"/>
              <w:rPr>
                <w:bCs/>
              </w:rPr>
            </w:pPr>
            <w:r w:rsidRPr="00D6360F">
              <w:rPr>
                <w:bCs/>
              </w:rPr>
              <w:t>8.770</w:t>
            </w:r>
          </w:p>
        </w:tc>
        <w:tc>
          <w:tcPr>
            <w:tcW w:w="1860" w:type="dxa"/>
            <w:vAlign w:val="center"/>
          </w:tcPr>
          <w:p w14:paraId="502F993C" w14:textId="77777777" w:rsidR="003773A3" w:rsidRPr="00D6360F" w:rsidRDefault="003773A3" w:rsidP="008168AC">
            <w:pPr>
              <w:pStyle w:val="BodyText"/>
              <w:jc w:val="center"/>
              <w:rPr>
                <w:bCs/>
              </w:rPr>
            </w:pPr>
            <w:r w:rsidRPr="00D6360F">
              <w:rPr>
                <w:bCs/>
              </w:rPr>
              <w:t>57.467</w:t>
            </w:r>
          </w:p>
        </w:tc>
      </w:tr>
      <w:tr w:rsidR="003773A3" w:rsidRPr="00D6360F" w14:paraId="379DEDE3" w14:textId="77777777" w:rsidTr="008168AC">
        <w:tc>
          <w:tcPr>
            <w:tcW w:w="674" w:type="dxa"/>
            <w:shd w:val="clear" w:color="auto" w:fill="auto"/>
            <w:vAlign w:val="center"/>
          </w:tcPr>
          <w:p w14:paraId="7018FD78" w14:textId="77777777" w:rsidR="003773A3" w:rsidRPr="00D6360F" w:rsidRDefault="003773A3" w:rsidP="008168AC">
            <w:pPr>
              <w:pStyle w:val="BodyText"/>
              <w:jc w:val="center"/>
              <w:rPr>
                <w:b/>
              </w:rPr>
            </w:pPr>
            <w:r w:rsidRPr="00D6360F">
              <w:rPr>
                <w:b/>
              </w:rPr>
              <w:t>2</w:t>
            </w:r>
          </w:p>
        </w:tc>
        <w:tc>
          <w:tcPr>
            <w:tcW w:w="1594" w:type="dxa"/>
            <w:shd w:val="clear" w:color="auto" w:fill="auto"/>
            <w:vAlign w:val="center"/>
          </w:tcPr>
          <w:p w14:paraId="09C0EA0B" w14:textId="77777777" w:rsidR="003773A3" w:rsidRPr="00D6360F" w:rsidRDefault="003773A3" w:rsidP="008168AC">
            <w:pPr>
              <w:pStyle w:val="BodyText"/>
              <w:jc w:val="center"/>
              <w:rPr>
                <w:bCs/>
              </w:rPr>
            </w:pPr>
            <w:r w:rsidRPr="00D6360F">
              <w:rPr>
                <w:bCs/>
              </w:rPr>
              <w:t>Cẩm Mỹ</w:t>
            </w:r>
          </w:p>
        </w:tc>
        <w:tc>
          <w:tcPr>
            <w:tcW w:w="1384" w:type="dxa"/>
            <w:vAlign w:val="center"/>
          </w:tcPr>
          <w:p w14:paraId="48DF6ECE" w14:textId="77777777" w:rsidR="003773A3" w:rsidRPr="00D6360F" w:rsidRDefault="003773A3" w:rsidP="008168AC">
            <w:pPr>
              <w:pStyle w:val="BodyText"/>
              <w:jc w:val="center"/>
              <w:rPr>
                <w:bCs/>
              </w:rPr>
            </w:pPr>
          </w:p>
        </w:tc>
        <w:tc>
          <w:tcPr>
            <w:tcW w:w="1276" w:type="dxa"/>
            <w:vAlign w:val="center"/>
          </w:tcPr>
          <w:p w14:paraId="3EAAA143" w14:textId="77777777" w:rsidR="003773A3" w:rsidRPr="00D6360F" w:rsidRDefault="003773A3" w:rsidP="008168AC">
            <w:pPr>
              <w:pStyle w:val="BodyText"/>
              <w:jc w:val="center"/>
              <w:rPr>
                <w:bCs/>
              </w:rPr>
            </w:pPr>
            <w:r w:rsidRPr="00D6360F">
              <w:rPr>
                <w:bCs/>
              </w:rPr>
              <w:t>2,2</w:t>
            </w:r>
          </w:p>
        </w:tc>
        <w:tc>
          <w:tcPr>
            <w:tcW w:w="1134" w:type="dxa"/>
            <w:vAlign w:val="center"/>
          </w:tcPr>
          <w:p w14:paraId="32F96BAC" w14:textId="77777777" w:rsidR="003773A3" w:rsidRPr="00D6360F" w:rsidRDefault="003773A3" w:rsidP="008168AC">
            <w:pPr>
              <w:pStyle w:val="BodyText"/>
              <w:jc w:val="center"/>
              <w:rPr>
                <w:bCs/>
              </w:rPr>
            </w:pPr>
            <w:r w:rsidRPr="00D6360F">
              <w:rPr>
                <w:bCs/>
              </w:rPr>
              <w:t>15,5</w:t>
            </w:r>
          </w:p>
        </w:tc>
        <w:tc>
          <w:tcPr>
            <w:tcW w:w="1276" w:type="dxa"/>
            <w:shd w:val="clear" w:color="auto" w:fill="auto"/>
            <w:vAlign w:val="center"/>
          </w:tcPr>
          <w:p w14:paraId="25A46147" w14:textId="77777777" w:rsidR="003773A3" w:rsidRPr="00D6360F" w:rsidRDefault="003773A3" w:rsidP="008168AC">
            <w:pPr>
              <w:pStyle w:val="BodyText"/>
              <w:jc w:val="center"/>
              <w:rPr>
                <w:bCs/>
              </w:rPr>
            </w:pPr>
            <w:r w:rsidRPr="00D6360F">
              <w:rPr>
                <w:bCs/>
              </w:rPr>
              <w:t>3.300</w:t>
            </w:r>
          </w:p>
        </w:tc>
        <w:tc>
          <w:tcPr>
            <w:tcW w:w="1860" w:type="dxa"/>
            <w:vAlign w:val="center"/>
          </w:tcPr>
          <w:p w14:paraId="2E34B8AF" w14:textId="77777777" w:rsidR="003773A3" w:rsidRPr="00D6360F" w:rsidRDefault="003773A3" w:rsidP="008168AC">
            <w:pPr>
              <w:pStyle w:val="BodyText"/>
              <w:jc w:val="center"/>
              <w:rPr>
                <w:bCs/>
              </w:rPr>
            </w:pPr>
            <w:r w:rsidRPr="00D6360F">
              <w:rPr>
                <w:bCs/>
              </w:rPr>
              <w:t>20.670</w:t>
            </w:r>
          </w:p>
        </w:tc>
      </w:tr>
      <w:tr w:rsidR="003773A3" w:rsidRPr="00D6360F" w14:paraId="67174B4E" w14:textId="77777777" w:rsidTr="008168AC">
        <w:tc>
          <w:tcPr>
            <w:tcW w:w="674" w:type="dxa"/>
            <w:shd w:val="clear" w:color="auto" w:fill="auto"/>
            <w:vAlign w:val="center"/>
          </w:tcPr>
          <w:p w14:paraId="40BBEEEA" w14:textId="77777777" w:rsidR="003773A3" w:rsidRPr="00D6360F" w:rsidRDefault="003773A3" w:rsidP="008168AC">
            <w:pPr>
              <w:pStyle w:val="BodyText"/>
              <w:jc w:val="center"/>
              <w:rPr>
                <w:b/>
              </w:rPr>
            </w:pPr>
            <w:r w:rsidRPr="00D6360F">
              <w:rPr>
                <w:b/>
              </w:rPr>
              <w:t>3</w:t>
            </w:r>
          </w:p>
        </w:tc>
        <w:tc>
          <w:tcPr>
            <w:tcW w:w="1594" w:type="dxa"/>
            <w:shd w:val="clear" w:color="auto" w:fill="auto"/>
            <w:vAlign w:val="center"/>
          </w:tcPr>
          <w:p w14:paraId="04C94B7F" w14:textId="77777777" w:rsidR="003773A3" w:rsidRPr="00D6360F" w:rsidRDefault="003773A3" w:rsidP="008168AC">
            <w:pPr>
              <w:pStyle w:val="BodyText"/>
              <w:jc w:val="center"/>
              <w:rPr>
                <w:bCs/>
              </w:rPr>
            </w:pPr>
            <w:r w:rsidRPr="00D6360F">
              <w:rPr>
                <w:bCs/>
              </w:rPr>
              <w:t>Nhơn Trạch</w:t>
            </w:r>
          </w:p>
        </w:tc>
        <w:tc>
          <w:tcPr>
            <w:tcW w:w="1384" w:type="dxa"/>
            <w:vAlign w:val="center"/>
          </w:tcPr>
          <w:p w14:paraId="3961FB5D" w14:textId="77777777" w:rsidR="003773A3" w:rsidRPr="00D6360F" w:rsidRDefault="003773A3" w:rsidP="008168AC">
            <w:pPr>
              <w:pStyle w:val="BodyText"/>
              <w:jc w:val="center"/>
              <w:rPr>
                <w:bCs/>
              </w:rPr>
            </w:pPr>
          </w:p>
        </w:tc>
        <w:tc>
          <w:tcPr>
            <w:tcW w:w="1276" w:type="dxa"/>
            <w:vAlign w:val="center"/>
          </w:tcPr>
          <w:p w14:paraId="7EF4E969" w14:textId="77777777" w:rsidR="003773A3" w:rsidRPr="00D6360F" w:rsidRDefault="003773A3" w:rsidP="008168AC">
            <w:pPr>
              <w:pStyle w:val="BodyText"/>
              <w:jc w:val="center"/>
              <w:rPr>
                <w:bCs/>
              </w:rPr>
            </w:pPr>
          </w:p>
        </w:tc>
        <w:tc>
          <w:tcPr>
            <w:tcW w:w="1134" w:type="dxa"/>
            <w:vAlign w:val="center"/>
          </w:tcPr>
          <w:p w14:paraId="14AB5E0E" w14:textId="77777777" w:rsidR="003773A3" w:rsidRPr="00D6360F" w:rsidRDefault="003773A3" w:rsidP="008168AC">
            <w:pPr>
              <w:pStyle w:val="BodyText"/>
              <w:jc w:val="center"/>
              <w:rPr>
                <w:bCs/>
              </w:rPr>
            </w:pPr>
            <w:r w:rsidRPr="00D6360F">
              <w:rPr>
                <w:bCs/>
              </w:rPr>
              <w:t>3,12</w:t>
            </w:r>
          </w:p>
        </w:tc>
        <w:tc>
          <w:tcPr>
            <w:tcW w:w="1276" w:type="dxa"/>
            <w:shd w:val="clear" w:color="auto" w:fill="auto"/>
            <w:vAlign w:val="center"/>
          </w:tcPr>
          <w:p w14:paraId="0D43EAC6" w14:textId="77777777" w:rsidR="003773A3" w:rsidRPr="00D6360F" w:rsidRDefault="003773A3" w:rsidP="008168AC">
            <w:pPr>
              <w:pStyle w:val="BodyText"/>
              <w:jc w:val="center"/>
              <w:rPr>
                <w:bCs/>
              </w:rPr>
            </w:pPr>
            <w:r w:rsidRPr="00D6360F">
              <w:rPr>
                <w:bCs/>
              </w:rPr>
              <w:t>6.530</w:t>
            </w:r>
          </w:p>
        </w:tc>
        <w:tc>
          <w:tcPr>
            <w:tcW w:w="1860" w:type="dxa"/>
            <w:vAlign w:val="center"/>
          </w:tcPr>
          <w:p w14:paraId="01925D70" w14:textId="77777777" w:rsidR="003773A3" w:rsidRPr="00D6360F" w:rsidRDefault="003773A3" w:rsidP="008168AC">
            <w:pPr>
              <w:pStyle w:val="BodyText"/>
              <w:jc w:val="center"/>
              <w:rPr>
                <w:bCs/>
              </w:rPr>
            </w:pPr>
            <w:r w:rsidRPr="00D6360F">
              <w:rPr>
                <w:bCs/>
              </w:rPr>
              <w:t>17.453</w:t>
            </w:r>
          </w:p>
        </w:tc>
      </w:tr>
      <w:tr w:rsidR="003773A3" w:rsidRPr="00D6360F" w14:paraId="64CB26F7" w14:textId="77777777" w:rsidTr="008168AC">
        <w:tc>
          <w:tcPr>
            <w:tcW w:w="674" w:type="dxa"/>
            <w:shd w:val="clear" w:color="auto" w:fill="auto"/>
            <w:vAlign w:val="center"/>
          </w:tcPr>
          <w:p w14:paraId="03B0E355" w14:textId="77777777" w:rsidR="003773A3" w:rsidRPr="00D6360F" w:rsidRDefault="003773A3" w:rsidP="008168AC">
            <w:pPr>
              <w:pStyle w:val="BodyText"/>
              <w:jc w:val="center"/>
              <w:rPr>
                <w:b/>
              </w:rPr>
            </w:pPr>
            <w:r w:rsidRPr="00D6360F">
              <w:rPr>
                <w:b/>
              </w:rPr>
              <w:t>4</w:t>
            </w:r>
          </w:p>
        </w:tc>
        <w:tc>
          <w:tcPr>
            <w:tcW w:w="1594" w:type="dxa"/>
            <w:shd w:val="clear" w:color="auto" w:fill="auto"/>
            <w:vAlign w:val="center"/>
          </w:tcPr>
          <w:p w14:paraId="340DD35A" w14:textId="77777777" w:rsidR="003773A3" w:rsidRPr="00D6360F" w:rsidRDefault="003773A3" w:rsidP="008168AC">
            <w:pPr>
              <w:pStyle w:val="BodyText"/>
              <w:jc w:val="center"/>
              <w:rPr>
                <w:bCs/>
              </w:rPr>
            </w:pPr>
            <w:r w:rsidRPr="00D6360F">
              <w:rPr>
                <w:bCs/>
              </w:rPr>
              <w:t>Long Thành</w:t>
            </w:r>
          </w:p>
        </w:tc>
        <w:tc>
          <w:tcPr>
            <w:tcW w:w="1384" w:type="dxa"/>
            <w:vAlign w:val="center"/>
          </w:tcPr>
          <w:p w14:paraId="1171E243" w14:textId="77777777" w:rsidR="003773A3" w:rsidRPr="00D6360F" w:rsidRDefault="003773A3" w:rsidP="008168AC">
            <w:pPr>
              <w:pStyle w:val="BodyText"/>
              <w:jc w:val="center"/>
              <w:rPr>
                <w:bCs/>
              </w:rPr>
            </w:pPr>
            <w:r w:rsidRPr="00D6360F">
              <w:rPr>
                <w:bCs/>
              </w:rPr>
              <w:t>15,46</w:t>
            </w:r>
          </w:p>
        </w:tc>
        <w:tc>
          <w:tcPr>
            <w:tcW w:w="1276" w:type="dxa"/>
            <w:vAlign w:val="center"/>
          </w:tcPr>
          <w:p w14:paraId="5901F184" w14:textId="77777777" w:rsidR="003773A3" w:rsidRPr="00D6360F" w:rsidRDefault="003773A3" w:rsidP="008168AC">
            <w:pPr>
              <w:pStyle w:val="BodyText"/>
              <w:jc w:val="center"/>
              <w:rPr>
                <w:bCs/>
              </w:rPr>
            </w:pPr>
          </w:p>
        </w:tc>
        <w:tc>
          <w:tcPr>
            <w:tcW w:w="1134" w:type="dxa"/>
            <w:vAlign w:val="center"/>
          </w:tcPr>
          <w:p w14:paraId="3A9B323D" w14:textId="77777777" w:rsidR="003773A3" w:rsidRPr="00D6360F" w:rsidRDefault="003773A3" w:rsidP="008168AC">
            <w:pPr>
              <w:pStyle w:val="BodyText"/>
              <w:jc w:val="center"/>
              <w:rPr>
                <w:bCs/>
              </w:rPr>
            </w:pPr>
            <w:r w:rsidRPr="00D6360F">
              <w:rPr>
                <w:bCs/>
              </w:rPr>
              <w:t>8,68</w:t>
            </w:r>
          </w:p>
        </w:tc>
        <w:tc>
          <w:tcPr>
            <w:tcW w:w="1276" w:type="dxa"/>
            <w:shd w:val="clear" w:color="auto" w:fill="auto"/>
            <w:vAlign w:val="center"/>
          </w:tcPr>
          <w:p w14:paraId="6EE32D77" w14:textId="77777777" w:rsidR="003773A3" w:rsidRPr="00D6360F" w:rsidRDefault="003773A3" w:rsidP="008168AC">
            <w:pPr>
              <w:pStyle w:val="BodyText"/>
              <w:jc w:val="center"/>
              <w:rPr>
                <w:bCs/>
              </w:rPr>
            </w:pPr>
            <w:r w:rsidRPr="00D6360F">
              <w:rPr>
                <w:bCs/>
              </w:rPr>
              <w:t>2.785</w:t>
            </w:r>
          </w:p>
        </w:tc>
        <w:tc>
          <w:tcPr>
            <w:tcW w:w="1860" w:type="dxa"/>
            <w:vAlign w:val="center"/>
          </w:tcPr>
          <w:p w14:paraId="1C54303C" w14:textId="77777777" w:rsidR="003773A3" w:rsidRPr="00D6360F" w:rsidRDefault="003773A3" w:rsidP="008168AC">
            <w:pPr>
              <w:pStyle w:val="BodyText"/>
              <w:jc w:val="center"/>
              <w:rPr>
                <w:bCs/>
              </w:rPr>
            </w:pPr>
            <w:r w:rsidRPr="00D6360F">
              <w:rPr>
                <w:bCs/>
              </w:rPr>
              <w:t>25.235</w:t>
            </w:r>
          </w:p>
        </w:tc>
      </w:tr>
      <w:tr w:rsidR="003773A3" w:rsidRPr="00D6360F" w14:paraId="5954CDDD" w14:textId="77777777" w:rsidTr="008168AC">
        <w:tc>
          <w:tcPr>
            <w:tcW w:w="674" w:type="dxa"/>
            <w:shd w:val="clear" w:color="auto" w:fill="auto"/>
            <w:vAlign w:val="center"/>
          </w:tcPr>
          <w:p w14:paraId="60A2C245" w14:textId="77777777" w:rsidR="003773A3" w:rsidRPr="00D6360F" w:rsidRDefault="003773A3" w:rsidP="008168AC">
            <w:pPr>
              <w:pStyle w:val="BodyText"/>
              <w:jc w:val="center"/>
              <w:rPr>
                <w:b/>
              </w:rPr>
            </w:pPr>
            <w:r w:rsidRPr="00D6360F">
              <w:rPr>
                <w:b/>
              </w:rPr>
              <w:t>5</w:t>
            </w:r>
          </w:p>
        </w:tc>
        <w:tc>
          <w:tcPr>
            <w:tcW w:w="1594" w:type="dxa"/>
            <w:shd w:val="clear" w:color="auto" w:fill="auto"/>
            <w:vAlign w:val="center"/>
          </w:tcPr>
          <w:p w14:paraId="5F03CA86" w14:textId="77777777" w:rsidR="003773A3" w:rsidRPr="00D6360F" w:rsidRDefault="003773A3" w:rsidP="008168AC">
            <w:pPr>
              <w:pStyle w:val="BodyText"/>
              <w:jc w:val="center"/>
              <w:rPr>
                <w:bCs/>
              </w:rPr>
            </w:pPr>
            <w:r w:rsidRPr="00D6360F">
              <w:rPr>
                <w:bCs/>
              </w:rPr>
              <w:t>Vĩnh Cửu</w:t>
            </w:r>
          </w:p>
        </w:tc>
        <w:tc>
          <w:tcPr>
            <w:tcW w:w="1384" w:type="dxa"/>
            <w:vAlign w:val="center"/>
          </w:tcPr>
          <w:p w14:paraId="2F7D6161" w14:textId="77777777" w:rsidR="003773A3" w:rsidRPr="00D6360F" w:rsidRDefault="003773A3" w:rsidP="008168AC">
            <w:pPr>
              <w:pStyle w:val="BodyText"/>
              <w:jc w:val="center"/>
              <w:rPr>
                <w:bCs/>
              </w:rPr>
            </w:pPr>
            <w:r w:rsidRPr="00D6360F">
              <w:rPr>
                <w:bCs/>
              </w:rPr>
              <w:t>7,28</w:t>
            </w:r>
          </w:p>
        </w:tc>
        <w:tc>
          <w:tcPr>
            <w:tcW w:w="1276" w:type="dxa"/>
            <w:vAlign w:val="center"/>
          </w:tcPr>
          <w:p w14:paraId="780D92E3" w14:textId="77777777" w:rsidR="003773A3" w:rsidRPr="00D6360F" w:rsidRDefault="003773A3" w:rsidP="008168AC">
            <w:pPr>
              <w:pStyle w:val="BodyText"/>
              <w:jc w:val="center"/>
              <w:rPr>
                <w:bCs/>
              </w:rPr>
            </w:pPr>
          </w:p>
        </w:tc>
        <w:tc>
          <w:tcPr>
            <w:tcW w:w="1134" w:type="dxa"/>
            <w:vAlign w:val="center"/>
          </w:tcPr>
          <w:p w14:paraId="3BC907B3" w14:textId="77777777" w:rsidR="003773A3" w:rsidRPr="00D6360F" w:rsidRDefault="003773A3" w:rsidP="008168AC">
            <w:pPr>
              <w:pStyle w:val="BodyText"/>
              <w:jc w:val="center"/>
              <w:rPr>
                <w:bCs/>
              </w:rPr>
            </w:pPr>
            <w:r w:rsidRPr="00D6360F">
              <w:rPr>
                <w:bCs/>
              </w:rPr>
              <w:t>14,25</w:t>
            </w:r>
          </w:p>
        </w:tc>
        <w:tc>
          <w:tcPr>
            <w:tcW w:w="1276" w:type="dxa"/>
            <w:shd w:val="clear" w:color="auto" w:fill="auto"/>
            <w:vAlign w:val="center"/>
          </w:tcPr>
          <w:p w14:paraId="2A3933F9" w14:textId="77777777" w:rsidR="003773A3" w:rsidRPr="00D6360F" w:rsidRDefault="003773A3" w:rsidP="008168AC">
            <w:pPr>
              <w:pStyle w:val="BodyText"/>
              <w:jc w:val="center"/>
              <w:rPr>
                <w:bCs/>
              </w:rPr>
            </w:pPr>
            <w:r w:rsidRPr="00D6360F">
              <w:rPr>
                <w:bCs/>
              </w:rPr>
              <w:t>4.920</w:t>
            </w:r>
          </w:p>
        </w:tc>
        <w:tc>
          <w:tcPr>
            <w:tcW w:w="1860" w:type="dxa"/>
            <w:vAlign w:val="center"/>
          </w:tcPr>
          <w:p w14:paraId="6F8B980B" w14:textId="77777777" w:rsidR="003773A3" w:rsidRPr="00D6360F" w:rsidRDefault="003773A3" w:rsidP="008168AC">
            <w:pPr>
              <w:pStyle w:val="BodyText"/>
              <w:jc w:val="center"/>
              <w:rPr>
                <w:bCs/>
              </w:rPr>
            </w:pPr>
            <w:r w:rsidRPr="00D6360F">
              <w:rPr>
                <w:bCs/>
              </w:rPr>
              <w:t>28.109</w:t>
            </w:r>
          </w:p>
        </w:tc>
      </w:tr>
      <w:tr w:rsidR="003773A3" w:rsidRPr="00D6360F" w14:paraId="21F9D391" w14:textId="77777777" w:rsidTr="008168AC">
        <w:tc>
          <w:tcPr>
            <w:tcW w:w="674" w:type="dxa"/>
            <w:shd w:val="clear" w:color="auto" w:fill="auto"/>
            <w:vAlign w:val="center"/>
          </w:tcPr>
          <w:p w14:paraId="256A7878" w14:textId="77777777" w:rsidR="003773A3" w:rsidRPr="00D6360F" w:rsidRDefault="003773A3" w:rsidP="008168AC">
            <w:pPr>
              <w:pStyle w:val="BodyText"/>
              <w:jc w:val="center"/>
              <w:rPr>
                <w:b/>
              </w:rPr>
            </w:pPr>
            <w:r w:rsidRPr="00D6360F">
              <w:rPr>
                <w:b/>
              </w:rPr>
              <w:t>6</w:t>
            </w:r>
          </w:p>
        </w:tc>
        <w:tc>
          <w:tcPr>
            <w:tcW w:w="1594" w:type="dxa"/>
            <w:shd w:val="clear" w:color="auto" w:fill="auto"/>
            <w:vAlign w:val="center"/>
          </w:tcPr>
          <w:p w14:paraId="009C5DA1" w14:textId="77777777" w:rsidR="003773A3" w:rsidRPr="00D6360F" w:rsidRDefault="003773A3" w:rsidP="008168AC">
            <w:pPr>
              <w:pStyle w:val="BodyText"/>
              <w:jc w:val="center"/>
              <w:rPr>
                <w:bCs/>
              </w:rPr>
            </w:pPr>
            <w:r w:rsidRPr="00D6360F">
              <w:rPr>
                <w:bCs/>
              </w:rPr>
              <w:t>Trảng Bom</w:t>
            </w:r>
          </w:p>
        </w:tc>
        <w:tc>
          <w:tcPr>
            <w:tcW w:w="1384" w:type="dxa"/>
            <w:vAlign w:val="center"/>
          </w:tcPr>
          <w:p w14:paraId="09C0884A" w14:textId="77777777" w:rsidR="003773A3" w:rsidRPr="00D6360F" w:rsidRDefault="003773A3" w:rsidP="008168AC">
            <w:pPr>
              <w:pStyle w:val="BodyText"/>
              <w:jc w:val="center"/>
              <w:rPr>
                <w:bCs/>
              </w:rPr>
            </w:pPr>
          </w:p>
        </w:tc>
        <w:tc>
          <w:tcPr>
            <w:tcW w:w="1276" w:type="dxa"/>
            <w:vAlign w:val="center"/>
          </w:tcPr>
          <w:p w14:paraId="3A392519" w14:textId="77777777" w:rsidR="003773A3" w:rsidRPr="00D6360F" w:rsidRDefault="003773A3" w:rsidP="008168AC">
            <w:pPr>
              <w:pStyle w:val="BodyText"/>
              <w:jc w:val="center"/>
              <w:rPr>
                <w:bCs/>
              </w:rPr>
            </w:pPr>
          </w:p>
        </w:tc>
        <w:tc>
          <w:tcPr>
            <w:tcW w:w="1134" w:type="dxa"/>
            <w:vAlign w:val="center"/>
          </w:tcPr>
          <w:p w14:paraId="3D51077D" w14:textId="77777777" w:rsidR="003773A3" w:rsidRPr="00D6360F" w:rsidRDefault="003773A3" w:rsidP="008168AC">
            <w:pPr>
              <w:pStyle w:val="BodyText"/>
              <w:jc w:val="center"/>
              <w:rPr>
                <w:bCs/>
              </w:rPr>
            </w:pPr>
            <w:r w:rsidRPr="00D6360F">
              <w:rPr>
                <w:bCs/>
              </w:rPr>
              <w:t>16,55</w:t>
            </w:r>
          </w:p>
        </w:tc>
        <w:tc>
          <w:tcPr>
            <w:tcW w:w="1276" w:type="dxa"/>
            <w:shd w:val="clear" w:color="auto" w:fill="auto"/>
            <w:vAlign w:val="center"/>
          </w:tcPr>
          <w:p w14:paraId="689908A5" w14:textId="77777777" w:rsidR="003773A3" w:rsidRPr="00D6360F" w:rsidRDefault="003773A3" w:rsidP="008168AC">
            <w:pPr>
              <w:pStyle w:val="BodyText"/>
              <w:jc w:val="center"/>
              <w:rPr>
                <w:bCs/>
              </w:rPr>
            </w:pPr>
            <w:r w:rsidRPr="00D6360F">
              <w:rPr>
                <w:bCs/>
              </w:rPr>
              <w:t>4.350</w:t>
            </w:r>
          </w:p>
        </w:tc>
        <w:tc>
          <w:tcPr>
            <w:tcW w:w="1860" w:type="dxa"/>
            <w:vAlign w:val="center"/>
          </w:tcPr>
          <w:p w14:paraId="51ED91A9" w14:textId="77777777" w:rsidR="003773A3" w:rsidRPr="00D6360F" w:rsidRDefault="003773A3" w:rsidP="008168AC">
            <w:pPr>
              <w:pStyle w:val="BodyText"/>
              <w:jc w:val="center"/>
              <w:rPr>
                <w:bCs/>
              </w:rPr>
            </w:pPr>
            <w:r w:rsidRPr="00D6360F">
              <w:rPr>
                <w:bCs/>
              </w:rPr>
              <w:t>22.914</w:t>
            </w:r>
          </w:p>
        </w:tc>
      </w:tr>
      <w:tr w:rsidR="003773A3" w:rsidRPr="00D6360F" w14:paraId="46DFC027" w14:textId="77777777" w:rsidTr="008168AC">
        <w:tc>
          <w:tcPr>
            <w:tcW w:w="674" w:type="dxa"/>
            <w:shd w:val="clear" w:color="auto" w:fill="auto"/>
            <w:vAlign w:val="center"/>
          </w:tcPr>
          <w:p w14:paraId="08362CFC" w14:textId="77777777" w:rsidR="003773A3" w:rsidRPr="00D6360F" w:rsidRDefault="003773A3" w:rsidP="008168AC">
            <w:pPr>
              <w:pStyle w:val="BodyText"/>
              <w:jc w:val="center"/>
              <w:rPr>
                <w:b/>
              </w:rPr>
            </w:pPr>
            <w:r w:rsidRPr="00D6360F">
              <w:rPr>
                <w:b/>
              </w:rPr>
              <w:t>7</w:t>
            </w:r>
          </w:p>
        </w:tc>
        <w:tc>
          <w:tcPr>
            <w:tcW w:w="1594" w:type="dxa"/>
            <w:shd w:val="clear" w:color="auto" w:fill="auto"/>
            <w:vAlign w:val="center"/>
          </w:tcPr>
          <w:p w14:paraId="216861B7" w14:textId="77777777" w:rsidR="003773A3" w:rsidRPr="00D6360F" w:rsidRDefault="003773A3" w:rsidP="008168AC">
            <w:pPr>
              <w:pStyle w:val="BodyText"/>
              <w:jc w:val="center"/>
              <w:rPr>
                <w:bCs/>
              </w:rPr>
            </w:pPr>
            <w:r w:rsidRPr="00D6360F">
              <w:rPr>
                <w:bCs/>
              </w:rPr>
              <w:t>Thống Nhất</w:t>
            </w:r>
          </w:p>
        </w:tc>
        <w:tc>
          <w:tcPr>
            <w:tcW w:w="1384" w:type="dxa"/>
            <w:vAlign w:val="center"/>
          </w:tcPr>
          <w:p w14:paraId="3C797CBA" w14:textId="77777777" w:rsidR="003773A3" w:rsidRPr="00D6360F" w:rsidRDefault="003773A3" w:rsidP="008168AC">
            <w:pPr>
              <w:pStyle w:val="BodyText"/>
              <w:jc w:val="center"/>
              <w:rPr>
                <w:bCs/>
              </w:rPr>
            </w:pPr>
            <w:r w:rsidRPr="00D6360F">
              <w:rPr>
                <w:bCs/>
              </w:rPr>
              <w:t>3,8</w:t>
            </w:r>
          </w:p>
        </w:tc>
        <w:tc>
          <w:tcPr>
            <w:tcW w:w="1276" w:type="dxa"/>
            <w:vAlign w:val="center"/>
          </w:tcPr>
          <w:p w14:paraId="1BB2BDD8" w14:textId="77777777" w:rsidR="003773A3" w:rsidRPr="00D6360F" w:rsidRDefault="003773A3" w:rsidP="008168AC">
            <w:pPr>
              <w:pStyle w:val="BodyText"/>
              <w:jc w:val="center"/>
              <w:rPr>
                <w:bCs/>
              </w:rPr>
            </w:pPr>
          </w:p>
        </w:tc>
        <w:tc>
          <w:tcPr>
            <w:tcW w:w="1134" w:type="dxa"/>
            <w:vAlign w:val="center"/>
          </w:tcPr>
          <w:p w14:paraId="3329CBE1" w14:textId="77777777" w:rsidR="003773A3" w:rsidRPr="00D6360F" w:rsidRDefault="003773A3" w:rsidP="008168AC">
            <w:pPr>
              <w:pStyle w:val="BodyText"/>
              <w:jc w:val="center"/>
              <w:rPr>
                <w:bCs/>
              </w:rPr>
            </w:pPr>
            <w:r w:rsidRPr="00D6360F">
              <w:rPr>
                <w:bCs/>
              </w:rPr>
              <w:t>30,2</w:t>
            </w:r>
          </w:p>
        </w:tc>
        <w:tc>
          <w:tcPr>
            <w:tcW w:w="1276" w:type="dxa"/>
            <w:shd w:val="clear" w:color="auto" w:fill="auto"/>
            <w:vAlign w:val="center"/>
          </w:tcPr>
          <w:p w14:paraId="657F4A5B" w14:textId="77777777" w:rsidR="003773A3" w:rsidRPr="00D6360F" w:rsidRDefault="003773A3" w:rsidP="008168AC">
            <w:pPr>
              <w:pStyle w:val="BodyText"/>
              <w:jc w:val="center"/>
              <w:rPr>
                <w:bCs/>
              </w:rPr>
            </w:pPr>
            <w:r w:rsidRPr="00D6360F">
              <w:rPr>
                <w:bCs/>
              </w:rPr>
              <w:t>6.550</w:t>
            </w:r>
          </w:p>
        </w:tc>
        <w:tc>
          <w:tcPr>
            <w:tcW w:w="1860" w:type="dxa"/>
            <w:vAlign w:val="center"/>
          </w:tcPr>
          <w:p w14:paraId="5F547A2C" w14:textId="77777777" w:rsidR="003773A3" w:rsidRPr="00D6360F" w:rsidRDefault="003773A3" w:rsidP="008168AC">
            <w:pPr>
              <w:pStyle w:val="BodyText"/>
              <w:jc w:val="center"/>
              <w:rPr>
                <w:bCs/>
              </w:rPr>
            </w:pPr>
            <w:r w:rsidRPr="00D6360F">
              <w:rPr>
                <w:bCs/>
              </w:rPr>
              <w:t>41.585</w:t>
            </w:r>
          </w:p>
        </w:tc>
      </w:tr>
      <w:tr w:rsidR="003773A3" w:rsidRPr="00D6360F" w14:paraId="33D861EC" w14:textId="77777777" w:rsidTr="008168AC">
        <w:tc>
          <w:tcPr>
            <w:tcW w:w="674" w:type="dxa"/>
            <w:shd w:val="clear" w:color="auto" w:fill="auto"/>
            <w:vAlign w:val="center"/>
          </w:tcPr>
          <w:p w14:paraId="10DB6DAA" w14:textId="77777777" w:rsidR="003773A3" w:rsidRPr="00D6360F" w:rsidRDefault="003773A3" w:rsidP="008168AC">
            <w:pPr>
              <w:pStyle w:val="BodyText"/>
              <w:jc w:val="center"/>
              <w:rPr>
                <w:b/>
              </w:rPr>
            </w:pPr>
            <w:r w:rsidRPr="00D6360F">
              <w:rPr>
                <w:b/>
              </w:rPr>
              <w:t>8</w:t>
            </w:r>
          </w:p>
        </w:tc>
        <w:tc>
          <w:tcPr>
            <w:tcW w:w="1594" w:type="dxa"/>
            <w:shd w:val="clear" w:color="auto" w:fill="auto"/>
            <w:vAlign w:val="center"/>
          </w:tcPr>
          <w:p w14:paraId="4D0ACFE6" w14:textId="77777777" w:rsidR="003773A3" w:rsidRPr="00D6360F" w:rsidRDefault="003773A3" w:rsidP="008168AC">
            <w:pPr>
              <w:pStyle w:val="BodyText"/>
              <w:jc w:val="center"/>
              <w:rPr>
                <w:bCs/>
              </w:rPr>
            </w:pPr>
            <w:r w:rsidRPr="00D6360F">
              <w:rPr>
                <w:bCs/>
              </w:rPr>
              <w:t>Long Khánh</w:t>
            </w:r>
          </w:p>
        </w:tc>
        <w:tc>
          <w:tcPr>
            <w:tcW w:w="1384" w:type="dxa"/>
            <w:vAlign w:val="center"/>
          </w:tcPr>
          <w:p w14:paraId="32D68CC9" w14:textId="77777777" w:rsidR="003773A3" w:rsidRPr="00D6360F" w:rsidRDefault="003773A3" w:rsidP="008168AC">
            <w:pPr>
              <w:pStyle w:val="BodyText"/>
              <w:jc w:val="center"/>
              <w:rPr>
                <w:bCs/>
              </w:rPr>
            </w:pPr>
            <w:r w:rsidRPr="00D6360F">
              <w:rPr>
                <w:bCs/>
              </w:rPr>
              <w:t>15,5</w:t>
            </w:r>
          </w:p>
        </w:tc>
        <w:tc>
          <w:tcPr>
            <w:tcW w:w="1276" w:type="dxa"/>
            <w:vAlign w:val="center"/>
          </w:tcPr>
          <w:p w14:paraId="6BE3D9E0" w14:textId="77777777" w:rsidR="003773A3" w:rsidRPr="00D6360F" w:rsidRDefault="003773A3" w:rsidP="008168AC">
            <w:pPr>
              <w:pStyle w:val="BodyText"/>
              <w:jc w:val="center"/>
              <w:rPr>
                <w:bCs/>
              </w:rPr>
            </w:pPr>
          </w:p>
        </w:tc>
        <w:tc>
          <w:tcPr>
            <w:tcW w:w="1134" w:type="dxa"/>
            <w:vAlign w:val="center"/>
          </w:tcPr>
          <w:p w14:paraId="1F2A64EE" w14:textId="77777777" w:rsidR="003773A3" w:rsidRPr="00D6360F" w:rsidRDefault="003773A3" w:rsidP="008168AC">
            <w:pPr>
              <w:pStyle w:val="BodyText"/>
              <w:jc w:val="center"/>
              <w:rPr>
                <w:bCs/>
              </w:rPr>
            </w:pPr>
            <w:r w:rsidRPr="00D6360F">
              <w:rPr>
                <w:bCs/>
              </w:rPr>
              <w:t>9,5</w:t>
            </w:r>
          </w:p>
        </w:tc>
        <w:tc>
          <w:tcPr>
            <w:tcW w:w="1276" w:type="dxa"/>
            <w:shd w:val="clear" w:color="auto" w:fill="auto"/>
            <w:vAlign w:val="center"/>
          </w:tcPr>
          <w:p w14:paraId="386ED05C" w14:textId="77777777" w:rsidR="003773A3" w:rsidRPr="00D6360F" w:rsidRDefault="003773A3" w:rsidP="008168AC">
            <w:pPr>
              <w:pStyle w:val="BodyText"/>
              <w:jc w:val="center"/>
              <w:rPr>
                <w:bCs/>
              </w:rPr>
            </w:pPr>
            <w:r w:rsidRPr="00D6360F">
              <w:rPr>
                <w:bCs/>
              </w:rPr>
              <w:t>4.400</w:t>
            </w:r>
          </w:p>
        </w:tc>
        <w:tc>
          <w:tcPr>
            <w:tcW w:w="1860" w:type="dxa"/>
            <w:vAlign w:val="center"/>
          </w:tcPr>
          <w:p w14:paraId="0E3C215B" w14:textId="77777777" w:rsidR="003773A3" w:rsidRPr="00D6360F" w:rsidRDefault="003773A3" w:rsidP="008168AC">
            <w:pPr>
              <w:pStyle w:val="BodyText"/>
              <w:jc w:val="center"/>
              <w:rPr>
                <w:bCs/>
              </w:rPr>
            </w:pPr>
            <w:r w:rsidRPr="00D6360F">
              <w:rPr>
                <w:bCs/>
              </w:rPr>
              <w:t>29.620</w:t>
            </w:r>
          </w:p>
        </w:tc>
      </w:tr>
      <w:tr w:rsidR="003773A3" w:rsidRPr="00D6360F" w14:paraId="76E03EC4" w14:textId="77777777" w:rsidTr="008168AC">
        <w:tc>
          <w:tcPr>
            <w:tcW w:w="674" w:type="dxa"/>
            <w:shd w:val="clear" w:color="auto" w:fill="auto"/>
            <w:vAlign w:val="center"/>
          </w:tcPr>
          <w:p w14:paraId="0F31679D" w14:textId="77777777" w:rsidR="003773A3" w:rsidRPr="00D6360F" w:rsidRDefault="003773A3" w:rsidP="008168AC">
            <w:pPr>
              <w:pStyle w:val="BodyText"/>
              <w:jc w:val="center"/>
              <w:rPr>
                <w:b/>
              </w:rPr>
            </w:pPr>
            <w:r w:rsidRPr="00D6360F">
              <w:rPr>
                <w:b/>
              </w:rPr>
              <w:t>9</w:t>
            </w:r>
          </w:p>
        </w:tc>
        <w:tc>
          <w:tcPr>
            <w:tcW w:w="1594" w:type="dxa"/>
            <w:shd w:val="clear" w:color="auto" w:fill="auto"/>
            <w:vAlign w:val="center"/>
          </w:tcPr>
          <w:p w14:paraId="7560B372" w14:textId="77777777" w:rsidR="003773A3" w:rsidRPr="00D6360F" w:rsidRDefault="003773A3" w:rsidP="008168AC">
            <w:pPr>
              <w:pStyle w:val="BodyText"/>
              <w:jc w:val="center"/>
              <w:rPr>
                <w:bCs/>
              </w:rPr>
            </w:pPr>
            <w:r w:rsidRPr="00D6360F">
              <w:rPr>
                <w:bCs/>
              </w:rPr>
              <w:t>Tân Phú</w:t>
            </w:r>
          </w:p>
        </w:tc>
        <w:tc>
          <w:tcPr>
            <w:tcW w:w="1384" w:type="dxa"/>
            <w:vAlign w:val="center"/>
          </w:tcPr>
          <w:p w14:paraId="19D10C36" w14:textId="77777777" w:rsidR="003773A3" w:rsidRPr="00D6360F" w:rsidRDefault="003773A3" w:rsidP="008168AC">
            <w:pPr>
              <w:pStyle w:val="BodyText"/>
              <w:jc w:val="center"/>
              <w:rPr>
                <w:bCs/>
              </w:rPr>
            </w:pPr>
            <w:r w:rsidRPr="00D6360F">
              <w:rPr>
                <w:bCs/>
              </w:rPr>
              <w:t>30,4</w:t>
            </w:r>
          </w:p>
        </w:tc>
        <w:tc>
          <w:tcPr>
            <w:tcW w:w="1276" w:type="dxa"/>
            <w:vAlign w:val="center"/>
          </w:tcPr>
          <w:p w14:paraId="03CE2766" w14:textId="77777777" w:rsidR="003773A3" w:rsidRPr="00D6360F" w:rsidRDefault="003773A3" w:rsidP="008168AC">
            <w:pPr>
              <w:pStyle w:val="BodyText"/>
              <w:jc w:val="center"/>
              <w:rPr>
                <w:bCs/>
              </w:rPr>
            </w:pPr>
            <w:r w:rsidRPr="00D6360F">
              <w:rPr>
                <w:bCs/>
              </w:rPr>
              <w:t>35,9</w:t>
            </w:r>
          </w:p>
        </w:tc>
        <w:tc>
          <w:tcPr>
            <w:tcW w:w="1134" w:type="dxa"/>
            <w:vAlign w:val="center"/>
          </w:tcPr>
          <w:p w14:paraId="16CA14E0" w14:textId="77777777" w:rsidR="003773A3" w:rsidRPr="00D6360F" w:rsidRDefault="003773A3" w:rsidP="008168AC">
            <w:pPr>
              <w:pStyle w:val="BodyText"/>
              <w:jc w:val="center"/>
              <w:rPr>
                <w:bCs/>
              </w:rPr>
            </w:pPr>
            <w:r w:rsidRPr="00D6360F">
              <w:rPr>
                <w:bCs/>
              </w:rPr>
              <w:t>30,8</w:t>
            </w:r>
          </w:p>
        </w:tc>
        <w:tc>
          <w:tcPr>
            <w:tcW w:w="1276" w:type="dxa"/>
            <w:shd w:val="clear" w:color="auto" w:fill="auto"/>
            <w:vAlign w:val="center"/>
          </w:tcPr>
          <w:p w14:paraId="618F9E47" w14:textId="77777777" w:rsidR="003773A3" w:rsidRPr="00D6360F" w:rsidRDefault="003773A3" w:rsidP="008168AC">
            <w:pPr>
              <w:pStyle w:val="BodyText"/>
              <w:jc w:val="center"/>
              <w:rPr>
                <w:bCs/>
              </w:rPr>
            </w:pPr>
            <w:r w:rsidRPr="00D6360F">
              <w:rPr>
                <w:bCs/>
              </w:rPr>
              <w:t>10.500</w:t>
            </w:r>
          </w:p>
        </w:tc>
        <w:tc>
          <w:tcPr>
            <w:tcW w:w="1860" w:type="dxa"/>
            <w:vAlign w:val="center"/>
          </w:tcPr>
          <w:p w14:paraId="5DB7FFE1" w14:textId="77777777" w:rsidR="003773A3" w:rsidRPr="00D6360F" w:rsidRDefault="003773A3" w:rsidP="008168AC">
            <w:pPr>
              <w:pStyle w:val="BodyText"/>
              <w:jc w:val="center"/>
              <w:rPr>
                <w:bCs/>
              </w:rPr>
            </w:pPr>
            <w:r w:rsidRPr="00D6360F">
              <w:rPr>
                <w:bCs/>
              </w:rPr>
              <w:t>88.041</w:t>
            </w:r>
          </w:p>
        </w:tc>
      </w:tr>
      <w:tr w:rsidR="003773A3" w:rsidRPr="00D6360F" w14:paraId="7A181687" w14:textId="77777777" w:rsidTr="008168AC">
        <w:tc>
          <w:tcPr>
            <w:tcW w:w="674" w:type="dxa"/>
            <w:tcBorders>
              <w:bottom w:val="single" w:sz="4" w:space="0" w:color="auto"/>
            </w:tcBorders>
            <w:shd w:val="clear" w:color="auto" w:fill="auto"/>
            <w:vAlign w:val="center"/>
          </w:tcPr>
          <w:p w14:paraId="13D4D1DA" w14:textId="77777777" w:rsidR="003773A3" w:rsidRPr="00D6360F" w:rsidRDefault="003773A3" w:rsidP="008168AC">
            <w:pPr>
              <w:pStyle w:val="BodyText"/>
              <w:jc w:val="center"/>
              <w:rPr>
                <w:b/>
              </w:rPr>
            </w:pPr>
            <w:r w:rsidRPr="00D6360F">
              <w:rPr>
                <w:b/>
              </w:rPr>
              <w:t>10</w:t>
            </w:r>
          </w:p>
        </w:tc>
        <w:tc>
          <w:tcPr>
            <w:tcW w:w="1594" w:type="dxa"/>
            <w:tcBorders>
              <w:bottom w:val="single" w:sz="4" w:space="0" w:color="auto"/>
            </w:tcBorders>
            <w:shd w:val="clear" w:color="auto" w:fill="auto"/>
            <w:vAlign w:val="center"/>
          </w:tcPr>
          <w:p w14:paraId="66835A5B" w14:textId="77777777" w:rsidR="003773A3" w:rsidRPr="00D6360F" w:rsidRDefault="003773A3" w:rsidP="008168AC">
            <w:pPr>
              <w:pStyle w:val="BodyText"/>
              <w:jc w:val="center"/>
              <w:rPr>
                <w:bCs/>
              </w:rPr>
            </w:pPr>
            <w:r w:rsidRPr="00D6360F">
              <w:rPr>
                <w:bCs/>
              </w:rPr>
              <w:t>Định Quán</w:t>
            </w:r>
          </w:p>
        </w:tc>
        <w:tc>
          <w:tcPr>
            <w:tcW w:w="1384" w:type="dxa"/>
            <w:tcBorders>
              <w:bottom w:val="single" w:sz="4" w:space="0" w:color="auto"/>
            </w:tcBorders>
            <w:vAlign w:val="center"/>
          </w:tcPr>
          <w:p w14:paraId="582E3DCF" w14:textId="77777777" w:rsidR="003773A3" w:rsidRPr="00D6360F" w:rsidRDefault="003773A3" w:rsidP="008168AC">
            <w:pPr>
              <w:pStyle w:val="BodyText"/>
              <w:jc w:val="center"/>
              <w:rPr>
                <w:bCs/>
              </w:rPr>
            </w:pPr>
            <w:r w:rsidRPr="00D6360F">
              <w:rPr>
                <w:bCs/>
              </w:rPr>
              <w:t>8,5</w:t>
            </w:r>
          </w:p>
        </w:tc>
        <w:tc>
          <w:tcPr>
            <w:tcW w:w="1276" w:type="dxa"/>
            <w:tcBorders>
              <w:bottom w:val="single" w:sz="4" w:space="0" w:color="auto"/>
            </w:tcBorders>
            <w:vAlign w:val="center"/>
          </w:tcPr>
          <w:p w14:paraId="0106057F" w14:textId="77777777" w:rsidR="003773A3" w:rsidRPr="00D6360F" w:rsidRDefault="003773A3" w:rsidP="008168AC">
            <w:pPr>
              <w:pStyle w:val="BodyText"/>
              <w:jc w:val="center"/>
              <w:rPr>
                <w:bCs/>
              </w:rPr>
            </w:pPr>
            <w:r w:rsidRPr="00D6360F">
              <w:rPr>
                <w:bCs/>
              </w:rPr>
              <w:t>5</w:t>
            </w:r>
          </w:p>
        </w:tc>
        <w:tc>
          <w:tcPr>
            <w:tcW w:w="1134" w:type="dxa"/>
            <w:tcBorders>
              <w:bottom w:val="single" w:sz="4" w:space="0" w:color="auto"/>
            </w:tcBorders>
            <w:vAlign w:val="center"/>
          </w:tcPr>
          <w:p w14:paraId="5F0D7DB3" w14:textId="77777777" w:rsidR="003773A3" w:rsidRPr="00D6360F" w:rsidRDefault="003773A3" w:rsidP="008168AC">
            <w:pPr>
              <w:pStyle w:val="BodyText"/>
              <w:jc w:val="center"/>
              <w:rPr>
                <w:bCs/>
              </w:rPr>
            </w:pPr>
            <w:r w:rsidRPr="00D6360F">
              <w:rPr>
                <w:bCs/>
              </w:rPr>
              <w:t>30,1</w:t>
            </w:r>
          </w:p>
        </w:tc>
        <w:tc>
          <w:tcPr>
            <w:tcW w:w="1276" w:type="dxa"/>
            <w:shd w:val="clear" w:color="auto" w:fill="auto"/>
            <w:vAlign w:val="center"/>
          </w:tcPr>
          <w:p w14:paraId="239C2E72" w14:textId="77777777" w:rsidR="003773A3" w:rsidRPr="00D6360F" w:rsidRDefault="003773A3" w:rsidP="008168AC">
            <w:pPr>
              <w:pStyle w:val="BodyText"/>
              <w:jc w:val="center"/>
              <w:rPr>
                <w:bCs/>
              </w:rPr>
            </w:pPr>
            <w:r w:rsidRPr="00D6360F">
              <w:rPr>
                <w:bCs/>
              </w:rPr>
              <w:t>9.600</w:t>
            </w:r>
          </w:p>
        </w:tc>
        <w:tc>
          <w:tcPr>
            <w:tcW w:w="1860" w:type="dxa"/>
            <w:vAlign w:val="center"/>
          </w:tcPr>
          <w:p w14:paraId="39AE985E" w14:textId="77777777" w:rsidR="003773A3" w:rsidRPr="00D6360F" w:rsidRDefault="003773A3" w:rsidP="008168AC">
            <w:pPr>
              <w:pStyle w:val="BodyText"/>
              <w:jc w:val="center"/>
              <w:rPr>
                <w:bCs/>
              </w:rPr>
            </w:pPr>
            <w:r w:rsidRPr="00D6360F">
              <w:rPr>
                <w:bCs/>
              </w:rPr>
              <w:t>54.438</w:t>
            </w:r>
          </w:p>
        </w:tc>
      </w:tr>
      <w:tr w:rsidR="003773A3" w:rsidRPr="00D6360F" w14:paraId="4CE467FC" w14:textId="77777777" w:rsidTr="008168AC">
        <w:tc>
          <w:tcPr>
            <w:tcW w:w="2268" w:type="dxa"/>
            <w:gridSpan w:val="2"/>
            <w:shd w:val="clear" w:color="auto" w:fill="auto"/>
            <w:vAlign w:val="center"/>
          </w:tcPr>
          <w:p w14:paraId="092524B8" w14:textId="77777777" w:rsidR="003773A3" w:rsidRPr="00D6360F" w:rsidRDefault="003773A3" w:rsidP="008168AC">
            <w:pPr>
              <w:pStyle w:val="BodyText"/>
              <w:jc w:val="center"/>
              <w:rPr>
                <w:b/>
              </w:rPr>
            </w:pPr>
            <w:r w:rsidRPr="00D6360F">
              <w:rPr>
                <w:b/>
              </w:rPr>
              <w:t>Tổng cộng</w:t>
            </w:r>
          </w:p>
        </w:tc>
        <w:tc>
          <w:tcPr>
            <w:tcW w:w="1384" w:type="dxa"/>
            <w:vAlign w:val="center"/>
          </w:tcPr>
          <w:p w14:paraId="70FE5B11" w14:textId="77777777" w:rsidR="003773A3" w:rsidRPr="00D6360F" w:rsidRDefault="003773A3" w:rsidP="008168AC">
            <w:pPr>
              <w:pStyle w:val="BodyText"/>
              <w:jc w:val="center"/>
              <w:rPr>
                <w:b/>
                <w:bCs/>
              </w:rPr>
            </w:pPr>
            <w:r w:rsidRPr="00D6360F">
              <w:rPr>
                <w:b/>
                <w:bCs/>
              </w:rPr>
              <w:t>91,49</w:t>
            </w:r>
          </w:p>
        </w:tc>
        <w:tc>
          <w:tcPr>
            <w:tcW w:w="1276" w:type="dxa"/>
            <w:vAlign w:val="center"/>
          </w:tcPr>
          <w:p w14:paraId="68F88C2A" w14:textId="77777777" w:rsidR="003773A3" w:rsidRPr="00D6360F" w:rsidRDefault="003773A3" w:rsidP="008168AC">
            <w:pPr>
              <w:pStyle w:val="BodyText"/>
              <w:jc w:val="center"/>
              <w:rPr>
                <w:b/>
                <w:bCs/>
              </w:rPr>
            </w:pPr>
            <w:r w:rsidRPr="00D6360F">
              <w:rPr>
                <w:b/>
                <w:bCs/>
              </w:rPr>
              <w:t>55</w:t>
            </w:r>
          </w:p>
        </w:tc>
        <w:tc>
          <w:tcPr>
            <w:tcW w:w="1134" w:type="dxa"/>
            <w:vAlign w:val="center"/>
          </w:tcPr>
          <w:p w14:paraId="2226242A" w14:textId="77777777" w:rsidR="003773A3" w:rsidRPr="00D6360F" w:rsidRDefault="003773A3" w:rsidP="008168AC">
            <w:pPr>
              <w:pStyle w:val="BodyText"/>
              <w:jc w:val="center"/>
              <w:rPr>
                <w:b/>
                <w:bCs/>
              </w:rPr>
            </w:pPr>
            <w:r w:rsidRPr="00D6360F">
              <w:rPr>
                <w:b/>
                <w:bCs/>
              </w:rPr>
              <w:t>189,1</w:t>
            </w:r>
          </w:p>
        </w:tc>
        <w:tc>
          <w:tcPr>
            <w:tcW w:w="1276" w:type="dxa"/>
            <w:shd w:val="clear" w:color="auto" w:fill="auto"/>
            <w:vAlign w:val="center"/>
          </w:tcPr>
          <w:p w14:paraId="2C46313B" w14:textId="77777777" w:rsidR="003773A3" w:rsidRPr="00D6360F" w:rsidRDefault="003773A3" w:rsidP="008168AC">
            <w:pPr>
              <w:pStyle w:val="BodyText"/>
              <w:jc w:val="center"/>
              <w:rPr>
                <w:b/>
                <w:bCs/>
              </w:rPr>
            </w:pPr>
            <w:r w:rsidRPr="00D6360F">
              <w:rPr>
                <w:b/>
                <w:bCs/>
              </w:rPr>
              <w:t>61.705</w:t>
            </w:r>
          </w:p>
        </w:tc>
        <w:tc>
          <w:tcPr>
            <w:tcW w:w="1860" w:type="dxa"/>
            <w:vAlign w:val="center"/>
          </w:tcPr>
          <w:p w14:paraId="1BDB7356" w14:textId="77777777" w:rsidR="003773A3" w:rsidRPr="00D6360F" w:rsidRDefault="003773A3" w:rsidP="008168AC">
            <w:pPr>
              <w:pStyle w:val="BodyText"/>
              <w:jc w:val="center"/>
              <w:rPr>
                <w:b/>
                <w:bCs/>
              </w:rPr>
            </w:pPr>
            <w:r w:rsidRPr="00D6360F">
              <w:rPr>
                <w:b/>
                <w:bCs/>
              </w:rPr>
              <w:t>385.532</w:t>
            </w:r>
          </w:p>
        </w:tc>
      </w:tr>
    </w:tbl>
    <w:p w14:paraId="7175FBCC" w14:textId="77777777" w:rsidR="003773A3" w:rsidRPr="00D6360F" w:rsidRDefault="003773A3" w:rsidP="003773A3">
      <w:pPr>
        <w:spacing w:before="120" w:line="340" w:lineRule="exact"/>
        <w:ind w:firstLine="720"/>
        <w:jc w:val="both"/>
        <w:rPr>
          <w:bCs/>
          <w:lang w:val="nl-NL"/>
        </w:rPr>
      </w:pPr>
      <w:r w:rsidRPr="00D6360F">
        <w:rPr>
          <w:bCs/>
          <w:lang w:val="nl-NL"/>
        </w:rPr>
        <w:t xml:space="preserve"> Đơn vị cho vay là Quỹ Đầu tư Phát triển Đồng Nai với Ngân sách tỉnh hỗ trợ lãi suất vay trong suốt quá trình vay cho Công ty TNHH một thành viên Điện lực Đồng Nai như sau:</w:t>
      </w:r>
    </w:p>
    <w:p w14:paraId="5649A55D" w14:textId="77777777" w:rsidR="003773A3" w:rsidRPr="00D6360F" w:rsidRDefault="003773A3" w:rsidP="003773A3">
      <w:pPr>
        <w:ind w:firstLine="709"/>
        <w:jc w:val="both"/>
        <w:rPr>
          <w:bCs/>
          <w:lang w:val="nl-NL"/>
        </w:rPr>
      </w:pPr>
      <w:r w:rsidRPr="00D6360F">
        <w:rPr>
          <w:bCs/>
          <w:lang w:val="nl-NL"/>
        </w:rPr>
        <w:t>- Chương trình phục vụ sinh hoạt: Ngân sách tỉnh hỗ trợ 50% lãi suất vay trong suốt thời gian vay, thời gian vay và trả nợ theo ý kiến thẩm định của đơn vị cho vay nhưng không quá 10 năm. Điều này, sẽ tránh được tình trạng mức lãi suất vay quá cao như những năm trước đây, làm ảnh hưởng lớn đến việc cân đối tài chính của Công ty (Vì, lãi suất vay 6,9% áp dụng từ năm 2010 cho đến nay; tuy nhiên, trên thị trường tín dụng, mặt bằng lãi suất cho vay đã giảm từ 15,4% năm 2012 xuống 10,5% năm 2013 và 9,5% từ năm 2014 – 2018, 9% từ năm 2019-2020; và Quỹ Đầu tư Phát triển Đồng Nai đang cho các đơn vị vay với lãi suất 7%).</w:t>
      </w:r>
    </w:p>
    <w:p w14:paraId="6259BC1F" w14:textId="77777777" w:rsidR="003773A3" w:rsidRPr="00D6360F" w:rsidRDefault="003773A3" w:rsidP="003773A3">
      <w:pPr>
        <w:spacing w:before="120" w:line="340" w:lineRule="exact"/>
        <w:ind w:firstLine="709"/>
        <w:jc w:val="both"/>
        <w:rPr>
          <w:bCs/>
          <w:spacing w:val="-4"/>
          <w:lang w:val="nl-NL"/>
        </w:rPr>
      </w:pPr>
      <w:r w:rsidRPr="00D6360F">
        <w:rPr>
          <w:bCs/>
          <w:spacing w:val="-4"/>
          <w:lang w:val="nl-NL"/>
        </w:rPr>
        <w:t>- Chương trình phục vụ sản xuất tập trung: Ngân sách tỉnh hỗ trợ 50% lãi suất vay trong suốt thời gian vay. Thời gian vay và trả nợ theo ý kiến thẩm định của đơn vị cho vay nhưng không quá 10 năm.</w:t>
      </w:r>
    </w:p>
    <w:p w14:paraId="2792DB36" w14:textId="77777777" w:rsidR="003773A3" w:rsidRPr="00D6360F" w:rsidRDefault="003773A3" w:rsidP="003773A3">
      <w:pPr>
        <w:spacing w:before="120" w:line="340" w:lineRule="exact"/>
        <w:ind w:firstLine="709"/>
        <w:jc w:val="both"/>
        <w:rPr>
          <w:bCs/>
          <w:spacing w:val="-4"/>
          <w:lang w:val="nl-NL"/>
        </w:rPr>
      </w:pPr>
      <w:r w:rsidRPr="00D6360F">
        <w:rPr>
          <w:bCs/>
          <w:spacing w:val="-4"/>
          <w:lang w:val="nl-NL"/>
        </w:rPr>
        <w:t>- Chương trình phục vụ chăn nuôi: Ngân sách tỉnh hỗ trợ 100% lãi suất vay trong thời gian 05 năm kể từ ngày nhận vốn vay. Thời gian vay và trả nợ theo ý kiến  thẩm định của đơn vị cho vay nhưng không quá 10 năm.</w:t>
      </w:r>
    </w:p>
    <w:p w14:paraId="4EC75D46" w14:textId="77777777" w:rsidR="00E059FC" w:rsidRPr="009803CF" w:rsidRDefault="00E059FC" w:rsidP="00E059FC">
      <w:pPr>
        <w:tabs>
          <w:tab w:val="right" w:pos="9071"/>
        </w:tabs>
        <w:spacing w:before="120" w:after="120"/>
        <w:ind w:firstLine="720"/>
        <w:jc w:val="both"/>
        <w:rPr>
          <w:b/>
        </w:rPr>
      </w:pPr>
      <w:r w:rsidRPr="009803CF">
        <w:rPr>
          <w:b/>
        </w:rPr>
        <w:lastRenderedPageBreak/>
        <w:t>5. Kiến nghị giải pháp lựa chọn (trong đó có xác định thẩm quyền ban hành chính sách để giải quyết vấn đề)</w:t>
      </w:r>
    </w:p>
    <w:p w14:paraId="51521434" w14:textId="66359170" w:rsidR="00E059FC" w:rsidRPr="009803CF" w:rsidRDefault="00E059FC" w:rsidP="00E059FC">
      <w:pPr>
        <w:spacing w:before="120" w:after="120"/>
        <w:ind w:firstLine="720"/>
        <w:jc w:val="both"/>
        <w:rPr>
          <w:spacing w:val="-6"/>
          <w:lang w:val="en"/>
        </w:rPr>
      </w:pPr>
      <w:r w:rsidRPr="009803CF">
        <w:rPr>
          <w:spacing w:val="-6"/>
          <w:lang w:val="en"/>
        </w:rPr>
        <w:t xml:space="preserve">- Hội đồng nhân dân tỉnh: Ban hành </w:t>
      </w:r>
      <w:r w:rsidR="00773016" w:rsidRPr="00D6360F">
        <w:rPr>
          <w:bCs/>
          <w:lang w:val="nl-NL"/>
        </w:rPr>
        <w:t xml:space="preserve">Nghị quyết </w:t>
      </w:r>
      <w:r w:rsidR="00166FB7">
        <w:rPr>
          <w:bCs/>
          <w:lang w:val="nl-NL"/>
        </w:rPr>
        <w:t xml:space="preserve">về </w:t>
      </w:r>
      <w:r w:rsidR="00773016" w:rsidRPr="00D6360F">
        <w:rPr>
          <w:bCs/>
          <w:spacing w:val="-4"/>
          <w:lang w:val="nl-NL"/>
        </w:rPr>
        <w:t>chính sách hỗ trợ đầu tư xây dựng hạ tầng điện phục vụ điện sinh hoạt, các khu sản xuất tập trung, tiểu thủ công nghiệp, thủy sản</w:t>
      </w:r>
      <w:r w:rsidR="00773016">
        <w:rPr>
          <w:bCs/>
          <w:spacing w:val="-4"/>
          <w:lang w:val="nl-NL"/>
        </w:rPr>
        <w:t>, chăn nuôi</w:t>
      </w:r>
      <w:r w:rsidR="00773016" w:rsidRPr="00D6360F">
        <w:rPr>
          <w:bCs/>
          <w:spacing w:val="-4"/>
          <w:lang w:val="nl-NL"/>
        </w:rPr>
        <w:t xml:space="preserve"> trên địa bàn tỉnh Đồng Nai</w:t>
      </w:r>
      <w:r w:rsidR="00773016" w:rsidRPr="00D6360F">
        <w:rPr>
          <w:bCs/>
          <w:lang w:val="nl-NL"/>
        </w:rPr>
        <w:t xml:space="preserve"> giai đoạn 2022-2025</w:t>
      </w:r>
      <w:r w:rsidRPr="009803CF">
        <w:rPr>
          <w:spacing w:val="-6"/>
          <w:lang w:val="en"/>
        </w:rPr>
        <w:t>.</w:t>
      </w:r>
    </w:p>
    <w:p w14:paraId="54DDFD8F" w14:textId="77777777" w:rsidR="00E059FC" w:rsidRPr="009803CF" w:rsidRDefault="00E059FC" w:rsidP="00E059FC">
      <w:pPr>
        <w:spacing w:before="120" w:after="120"/>
        <w:ind w:firstLine="720"/>
        <w:jc w:val="both"/>
        <w:rPr>
          <w:spacing w:val="-6"/>
          <w:lang w:val="en"/>
        </w:rPr>
      </w:pPr>
      <w:r w:rsidRPr="009803CF">
        <w:rPr>
          <w:spacing w:val="-6"/>
          <w:lang w:val="en"/>
        </w:rPr>
        <w:t>- Ủy ban nhân dân tỉnh: Triển khai thực hiện Nghị quyết nêu trên.</w:t>
      </w:r>
    </w:p>
    <w:p w14:paraId="274CC7E7" w14:textId="77777777" w:rsidR="00421973" w:rsidRDefault="00D31EFE" w:rsidP="00421973">
      <w:pPr>
        <w:widowControl w:val="0"/>
        <w:tabs>
          <w:tab w:val="right" w:leader="dot" w:pos="7920"/>
        </w:tabs>
        <w:spacing w:before="240" w:after="80"/>
        <w:ind w:firstLine="851"/>
        <w:jc w:val="both"/>
        <w:rPr>
          <w:b/>
        </w:rPr>
      </w:pPr>
      <w:r w:rsidRPr="00154B39">
        <w:rPr>
          <w:b/>
        </w:rPr>
        <w:t xml:space="preserve">III. Ý KIẾN THAM VẤN </w:t>
      </w:r>
    </w:p>
    <w:p w14:paraId="1511E18F" w14:textId="7C02DFB4" w:rsidR="00421973" w:rsidRPr="0039363F" w:rsidRDefault="00421973" w:rsidP="0039363F">
      <w:pPr>
        <w:spacing w:before="120" w:line="340" w:lineRule="exact"/>
        <w:ind w:firstLine="720"/>
        <w:jc w:val="both"/>
        <w:rPr>
          <w:bCs/>
          <w:lang w:val="nl-NL"/>
        </w:rPr>
      </w:pPr>
      <w:r>
        <w:t>1</w:t>
      </w:r>
      <w:r w:rsidRPr="0039363F">
        <w:rPr>
          <w:bCs/>
          <w:lang w:val="nl-NL"/>
        </w:rPr>
        <w:t>. Văn bản số 6968/UBND-KTN ngày 22/6/2021; văn bản số 5648/UBND-KTNS ngày 25/5/2021 của UBND tỉnh Đồng Nai. Trong đó, giao Sở Tài chính chủ trì, phối hợp với các đơn vị liên quan khẩn trương thực hiện ý kiến chỉ đạo của Lãnh đạo tỉnh tại Thông báo kết luận số 3153/TB-UBND nêu trên; thống nhất ý kiến, đề xuất tham mưu Tờ trình UBND tỉnh trình HĐND tỉnh xem xét, ban hành Nghị quyết thay thế Nghị quyết số 105/2013/NQ-HĐND ngày 06/12/2013 của HĐND tỉnh.</w:t>
      </w:r>
    </w:p>
    <w:p w14:paraId="6A06FAE5" w14:textId="3C361F25" w:rsidR="00421973" w:rsidRPr="0039363F" w:rsidRDefault="00421973" w:rsidP="0039363F">
      <w:pPr>
        <w:spacing w:before="120" w:line="340" w:lineRule="exact"/>
        <w:ind w:firstLine="720"/>
        <w:jc w:val="both"/>
        <w:rPr>
          <w:bCs/>
          <w:lang w:val="nl-NL"/>
        </w:rPr>
      </w:pPr>
      <w:r w:rsidRPr="0039363F">
        <w:rPr>
          <w:bCs/>
          <w:lang w:val="nl-NL"/>
        </w:rPr>
        <w:t>2. Quyết định số 263/QĐ-TTg ngày 22/2/2022 của Thủ tướng Chính phủ về phê duyệt Chương trình mục tiêu quốc gia xây dựng nông thôn mới giai đoạn 2021 – 2025.</w:t>
      </w:r>
    </w:p>
    <w:p w14:paraId="53CD4547" w14:textId="1BA474CC" w:rsidR="00084299" w:rsidRDefault="00421973" w:rsidP="00084299">
      <w:pPr>
        <w:spacing w:before="120" w:line="340" w:lineRule="exact"/>
        <w:ind w:firstLine="720"/>
        <w:jc w:val="both"/>
        <w:rPr>
          <w:bCs/>
          <w:lang w:val="nl-NL"/>
        </w:rPr>
      </w:pPr>
      <w:r w:rsidRPr="0039363F">
        <w:rPr>
          <w:bCs/>
          <w:lang w:val="nl-NL"/>
        </w:rPr>
        <w:t>3. Văn bản số 567/STP-XDPPL ngày 03/3/2022 của Sở Tư pháp về việc có ý kiến đối với việc tham mưu Ủy ban nhân dân tỉnh trình Hội đồng nhân dân tỉnh Nghị quyết về chính sách hỗ trợ đầu tư xây dựng hạ tầng điện phục vụ sinh hoạt, các khu sản xuất tập trung,...</w:t>
      </w:r>
    </w:p>
    <w:p w14:paraId="06FC9761" w14:textId="5CF02026" w:rsidR="00084299" w:rsidRDefault="00084299" w:rsidP="00084299">
      <w:pPr>
        <w:spacing w:before="120" w:line="340" w:lineRule="exact"/>
        <w:ind w:firstLine="720"/>
        <w:jc w:val="both"/>
        <w:rPr>
          <w:bCs/>
          <w:lang w:val="nl-NL"/>
        </w:rPr>
      </w:pPr>
      <w:r>
        <w:rPr>
          <w:bCs/>
          <w:lang w:val="nl-NL"/>
        </w:rPr>
        <w:t>4. Ngày 09</w:t>
      </w:r>
      <w:r w:rsidRPr="0039363F">
        <w:rPr>
          <w:bCs/>
          <w:lang w:val="nl-NL"/>
        </w:rPr>
        <w:t>/</w:t>
      </w:r>
      <w:r>
        <w:rPr>
          <w:bCs/>
          <w:lang w:val="nl-NL"/>
        </w:rPr>
        <w:t>3/</w:t>
      </w:r>
      <w:r w:rsidRPr="0039363F">
        <w:rPr>
          <w:bCs/>
          <w:lang w:val="nl-NL"/>
        </w:rPr>
        <w:t>2022, Sở Tài chính ban hành văn</w:t>
      </w:r>
      <w:r>
        <w:rPr>
          <w:bCs/>
          <w:lang w:val="nl-NL"/>
        </w:rPr>
        <w:t xml:space="preserve"> bản số 1174</w:t>
      </w:r>
      <w:r w:rsidRPr="0039363F">
        <w:rPr>
          <w:bCs/>
          <w:lang w:val="nl-NL"/>
        </w:rPr>
        <w:t>/STC-QLNS về việc tham mưu UBND tỉnh trình HĐND tỉnh ban hành Nghị quyết về chính sách hỗ trợ đầu tư xây dựng hạ tầng điện phục vụ sinh hoạt, các khu sản xuất tập trung, tiểu thủ công nghiệp, thủy sản, chăn nuôi trên địa bàn tỉnh Đồng Nai giai đoạn 2022-2025</w:t>
      </w:r>
      <w:r>
        <w:rPr>
          <w:bCs/>
          <w:lang w:val="nl-NL"/>
        </w:rPr>
        <w:t>.</w:t>
      </w:r>
    </w:p>
    <w:p w14:paraId="030E3756" w14:textId="62DD7D55" w:rsidR="00084299" w:rsidRDefault="00084299" w:rsidP="00084299">
      <w:pPr>
        <w:spacing w:before="120" w:line="340" w:lineRule="exact"/>
        <w:ind w:firstLine="720"/>
        <w:jc w:val="both"/>
        <w:rPr>
          <w:bCs/>
          <w:lang w:val="nl-NL"/>
        </w:rPr>
      </w:pPr>
      <w:r>
        <w:rPr>
          <w:bCs/>
          <w:lang w:val="nl-NL"/>
        </w:rPr>
        <w:t xml:space="preserve">5. Ngày 20/4/2022, UBND tỉnh ban hành Tờ trình số 47/TTr-UBND về việc đề nghị </w:t>
      </w:r>
      <w:r w:rsidRPr="00084299">
        <w:rPr>
          <w:bCs/>
          <w:lang w:val="nl-NL"/>
        </w:rPr>
        <w:t>đ</w:t>
      </w:r>
      <w:r w:rsidRPr="00084299">
        <w:rPr>
          <w:lang w:val="nl-NL"/>
        </w:rPr>
        <w:t>ề nghị xây dựng Nghị quyết về chính sách hỗ trợ đầu tư xây dựng hạ</w:t>
      </w:r>
      <w:r>
        <w:rPr>
          <w:lang w:val="nl-NL"/>
        </w:rPr>
        <w:t xml:space="preserve"> </w:t>
      </w:r>
      <w:r w:rsidRPr="00084299">
        <w:rPr>
          <w:lang w:val="nl-NL"/>
        </w:rPr>
        <w:t>tầng</w:t>
      </w:r>
      <w:r>
        <w:rPr>
          <w:bCs/>
          <w:lang w:val="nl-NL"/>
        </w:rPr>
        <w:t xml:space="preserve"> </w:t>
      </w:r>
      <w:r w:rsidRPr="00084299">
        <w:rPr>
          <w:lang w:val="nl-NL"/>
        </w:rPr>
        <w:t>điện phục vụ sinh hoạt, các khu sản xuất tập trung, tiểu thủ công nghiệp,</w:t>
      </w:r>
      <w:r w:rsidRPr="00084299">
        <w:rPr>
          <w:bCs/>
          <w:lang w:val="nl-NL"/>
        </w:rPr>
        <w:br/>
      </w:r>
      <w:r w:rsidRPr="00084299">
        <w:rPr>
          <w:lang w:val="nl-NL"/>
        </w:rPr>
        <w:t xml:space="preserve">thủy sản, chăn nuôi trên địa bàn tỉnh Đồng Nai giai đoạn 2022 </w:t>
      </w:r>
      <w:r>
        <w:rPr>
          <w:lang w:val="nl-NL"/>
        </w:rPr>
        <w:t>–</w:t>
      </w:r>
      <w:r w:rsidRPr="00084299">
        <w:rPr>
          <w:lang w:val="nl-NL"/>
        </w:rPr>
        <w:t xml:space="preserve"> 2025</w:t>
      </w:r>
      <w:r>
        <w:t>.</w:t>
      </w:r>
      <w:r>
        <w:rPr>
          <w:bCs/>
          <w:lang w:val="nl-NL"/>
        </w:rPr>
        <w:t xml:space="preserve"> </w:t>
      </w:r>
    </w:p>
    <w:p w14:paraId="221D82E4" w14:textId="77777777" w:rsidR="00084299" w:rsidRDefault="00084299" w:rsidP="00084299">
      <w:pPr>
        <w:spacing w:before="120" w:line="340" w:lineRule="exact"/>
        <w:ind w:firstLine="720"/>
        <w:jc w:val="both"/>
        <w:rPr>
          <w:bCs/>
          <w:lang w:val="nl-NL"/>
        </w:rPr>
      </w:pPr>
      <w:r>
        <w:t>6. V</w:t>
      </w:r>
      <w:r>
        <w:t>ăn bản số 218/HĐND-VP</w:t>
      </w:r>
      <w:r w:rsidRPr="004A5E4A">
        <w:t xml:space="preserve"> </w:t>
      </w:r>
      <w:r w:rsidRPr="00AE7BDD">
        <w:t>ngày 29/4/2022</w:t>
      </w:r>
      <w:r>
        <w:t xml:space="preserve"> </w:t>
      </w:r>
      <w:r w:rsidRPr="00AE7BDD">
        <w:t>của</w:t>
      </w:r>
      <w:r>
        <w:t xml:space="preserve"> Thường trực HĐND tỉnh về việc xây dựng </w:t>
      </w:r>
      <w:r w:rsidRPr="004A5E4A">
        <w:t>Nghị quyết về chính sách hỗ trợ đầu tư xây dựng hạ tầng điện phục vụ sinh hoạt, các khu sản xuất tập trung, tiểu thủ công nghiệp, thủy sản</w:t>
      </w:r>
      <w:r>
        <w:t xml:space="preserve"> </w:t>
      </w:r>
      <w:r w:rsidRPr="004A5E4A">
        <w:t>trên địa bàn tỉnh Đồng Nai</w:t>
      </w:r>
      <w:r>
        <w:t>.</w:t>
      </w:r>
    </w:p>
    <w:p w14:paraId="6300938D" w14:textId="77777777" w:rsidR="007D27AA" w:rsidRDefault="00084299" w:rsidP="007D27AA">
      <w:pPr>
        <w:spacing w:before="120" w:line="340" w:lineRule="exact"/>
        <w:ind w:firstLine="720"/>
        <w:jc w:val="both"/>
        <w:rPr>
          <w:bCs/>
          <w:lang w:val="nl-NL"/>
        </w:rPr>
      </w:pPr>
      <w:r>
        <w:t>7</w:t>
      </w:r>
      <w:r>
        <w:t>. V</w:t>
      </w:r>
      <w:r w:rsidRPr="00AE7BDD">
        <w:t>ăn bản số 4464/UBND-KTNS ngày 09/5/2022 của UBND tỉnh</w:t>
      </w:r>
      <w:r>
        <w:t xml:space="preserve"> về việc </w:t>
      </w:r>
      <w:r w:rsidRPr="00AE7BDD">
        <w:t>triển khai ý kiến của</w:t>
      </w:r>
      <w:r>
        <w:t xml:space="preserve"> Thường trực HĐND tỉnh tại c</w:t>
      </w:r>
      <w:r w:rsidRPr="00AE7BDD">
        <w:t>ông văn số 218/HĐND-VP ngày 29/4/20</w:t>
      </w:r>
      <w:bookmarkStart w:id="1" w:name="_GoBack"/>
      <w:bookmarkEnd w:id="1"/>
      <w:r w:rsidRPr="00AE7BDD">
        <w:t>22</w:t>
      </w:r>
      <w:r>
        <w:t xml:space="preserve">. </w:t>
      </w:r>
    </w:p>
    <w:p w14:paraId="39BEA902" w14:textId="47BB4644" w:rsidR="00166FB7" w:rsidRDefault="007D27AA" w:rsidP="007D27AA">
      <w:pPr>
        <w:spacing w:before="120" w:line="340" w:lineRule="exact"/>
        <w:ind w:firstLine="720"/>
        <w:jc w:val="both"/>
        <w:rPr>
          <w:bCs/>
          <w:lang w:val="nl-NL"/>
        </w:rPr>
      </w:pPr>
      <w:r>
        <w:rPr>
          <w:bCs/>
          <w:lang w:val="nl-NL"/>
        </w:rPr>
        <w:lastRenderedPageBreak/>
        <w:t xml:space="preserve">8. </w:t>
      </w:r>
      <w:r w:rsidR="00084299" w:rsidRPr="007D27AA">
        <w:rPr>
          <w:bCs/>
          <w:lang w:val="nl-NL"/>
        </w:rPr>
        <w:t>Ngày 11</w:t>
      </w:r>
      <w:r w:rsidR="00166FB7" w:rsidRPr="007D27AA">
        <w:rPr>
          <w:bCs/>
          <w:lang w:val="nl-NL"/>
        </w:rPr>
        <w:t>/</w:t>
      </w:r>
      <w:r w:rsidR="00084299" w:rsidRPr="007D27AA">
        <w:rPr>
          <w:bCs/>
          <w:lang w:val="nl-NL"/>
        </w:rPr>
        <w:t>5/</w:t>
      </w:r>
      <w:r w:rsidR="00166FB7" w:rsidRPr="007D27AA">
        <w:rPr>
          <w:bCs/>
          <w:lang w:val="nl-NL"/>
        </w:rPr>
        <w:t>2022, Sở Tài chính ban hành văn</w:t>
      </w:r>
      <w:r w:rsidR="00084299" w:rsidRPr="007D27AA">
        <w:rPr>
          <w:bCs/>
          <w:lang w:val="nl-NL"/>
        </w:rPr>
        <w:t xml:space="preserve"> bản số 2605</w:t>
      </w:r>
      <w:r w:rsidR="00166FB7" w:rsidRPr="007D27AA">
        <w:rPr>
          <w:bCs/>
          <w:lang w:val="nl-NL"/>
        </w:rPr>
        <w:t xml:space="preserve">/STC-QLNS về </w:t>
      </w:r>
      <w:r w:rsidRPr="007D27AA">
        <w:rPr>
          <w:bCs/>
          <w:lang w:val="nl-NL"/>
        </w:rPr>
        <w:t xml:space="preserve"> v</w:t>
      </w:r>
      <w:r w:rsidR="00166FB7" w:rsidRPr="007D27AA">
        <w:rPr>
          <w:bCs/>
          <w:lang w:val="nl-NL"/>
        </w:rPr>
        <w:t>iệc</w:t>
      </w:r>
      <w:r w:rsidRPr="007D27AA">
        <w:rPr>
          <w:bCs/>
          <w:lang w:val="nl-NL"/>
        </w:rPr>
        <w:t xml:space="preserve"> </w:t>
      </w:r>
      <w:r w:rsidR="00084299" w:rsidRPr="007D27AA">
        <w:rPr>
          <w:bCs/>
          <w:lang w:val="nl-NL"/>
        </w:rPr>
        <w:t>có</w:t>
      </w:r>
      <w:r w:rsidRPr="007D27AA">
        <w:rPr>
          <w:bCs/>
          <w:lang w:val="nl-NL"/>
        </w:rPr>
        <w:t xml:space="preserve"> </w:t>
      </w:r>
      <w:r w:rsidR="00084299" w:rsidRPr="007D27AA">
        <w:rPr>
          <w:bCs/>
          <w:lang w:val="nl-NL"/>
        </w:rPr>
        <w:t>ý kiến thống nhất về</w:t>
      </w:r>
      <w:r w:rsidRPr="007D27AA">
        <w:rPr>
          <w:bCs/>
          <w:lang w:val="nl-NL"/>
        </w:rPr>
        <w:t xml:space="preserve"> </w:t>
      </w:r>
      <w:r w:rsidR="00084299" w:rsidRPr="007D27AA">
        <w:rPr>
          <w:bCs/>
          <w:lang w:val="nl-NL"/>
        </w:rPr>
        <w:t>nội</w:t>
      </w:r>
      <w:r>
        <w:rPr>
          <w:bCs/>
          <w:lang w:val="nl-NL"/>
        </w:rPr>
        <w:t xml:space="preserve"> </w:t>
      </w:r>
      <w:r w:rsidRPr="007D27AA">
        <w:rPr>
          <w:bCs/>
          <w:lang w:val="nl-NL"/>
        </w:rPr>
        <w:t xml:space="preserve">dung tham mưu HĐND tỉnh </w:t>
      </w:r>
      <w:r w:rsidR="00084299" w:rsidRPr="007D27AA">
        <w:rPr>
          <w:bCs/>
          <w:lang w:val="nl-NL"/>
        </w:rPr>
        <w:t>ban</w:t>
      </w:r>
      <w:r>
        <w:rPr>
          <w:bCs/>
          <w:lang w:val="nl-NL"/>
        </w:rPr>
        <w:t xml:space="preserve"> </w:t>
      </w:r>
      <w:r w:rsidR="00084299" w:rsidRPr="007D27AA">
        <w:rPr>
          <w:bCs/>
          <w:lang w:val="nl-NL"/>
        </w:rPr>
        <w:t>hành</w:t>
      </w:r>
      <w:r w:rsidRPr="007D27AA">
        <w:rPr>
          <w:bCs/>
          <w:lang w:val="nl-NL"/>
        </w:rPr>
        <w:t xml:space="preserve"> </w:t>
      </w:r>
      <w:r w:rsidR="00084299" w:rsidRPr="007D27AA">
        <w:rPr>
          <w:bCs/>
          <w:lang w:val="nl-NL"/>
        </w:rPr>
        <w:t>Nghị quyết về chính sách hỗ trợ đầu tư xây dựng hạ tầng</w:t>
      </w:r>
      <w:r>
        <w:rPr>
          <w:bCs/>
          <w:lang w:val="nl-NL"/>
        </w:rPr>
        <w:t xml:space="preserve"> </w:t>
      </w:r>
      <w:r w:rsidR="00084299" w:rsidRPr="007D27AA">
        <w:rPr>
          <w:bCs/>
          <w:lang w:val="nl-NL"/>
        </w:rPr>
        <w:t>điện phục vụ sinh hoạt, các khu sản xuất tập trung, tiểu thủ công</w:t>
      </w:r>
      <w:r>
        <w:rPr>
          <w:bCs/>
          <w:lang w:val="nl-NL"/>
        </w:rPr>
        <w:t xml:space="preserve"> </w:t>
      </w:r>
      <w:r w:rsidR="00084299" w:rsidRPr="007D27AA">
        <w:rPr>
          <w:bCs/>
          <w:lang w:val="nl-NL"/>
        </w:rPr>
        <w:t>nghiệp,</w:t>
      </w:r>
      <w:r w:rsidRPr="007D27AA">
        <w:rPr>
          <w:bCs/>
          <w:lang w:val="nl-NL"/>
        </w:rPr>
        <w:t xml:space="preserve"> </w:t>
      </w:r>
      <w:r w:rsidR="00084299" w:rsidRPr="007D27AA">
        <w:rPr>
          <w:bCs/>
          <w:lang w:val="nl-NL"/>
        </w:rPr>
        <w:t>thủy sản,</w:t>
      </w:r>
      <w:r w:rsidRPr="007D27AA">
        <w:rPr>
          <w:bCs/>
          <w:lang w:val="nl-NL"/>
        </w:rPr>
        <w:t xml:space="preserve"> </w:t>
      </w:r>
      <w:r w:rsidR="00084299" w:rsidRPr="007D27AA">
        <w:rPr>
          <w:bCs/>
          <w:lang w:val="nl-NL"/>
        </w:rPr>
        <w:t>chăn nuôi trên địa</w:t>
      </w:r>
      <w:r w:rsidRPr="007D27AA">
        <w:rPr>
          <w:bCs/>
          <w:lang w:val="nl-NL"/>
        </w:rPr>
        <w:t xml:space="preserve"> </w:t>
      </w:r>
      <w:r w:rsidR="00084299" w:rsidRPr="007D27AA">
        <w:rPr>
          <w:bCs/>
          <w:lang w:val="nl-NL"/>
        </w:rPr>
        <w:t>bàn</w:t>
      </w:r>
      <w:r w:rsidRPr="007D27AA">
        <w:rPr>
          <w:bCs/>
          <w:lang w:val="nl-NL"/>
        </w:rPr>
        <w:t xml:space="preserve"> </w:t>
      </w:r>
      <w:r w:rsidR="00084299" w:rsidRPr="007D27AA">
        <w:rPr>
          <w:bCs/>
          <w:lang w:val="nl-NL"/>
        </w:rPr>
        <w:t>tỉnh Đồng Nai giai đoạn</w:t>
      </w:r>
      <w:r>
        <w:rPr>
          <w:bCs/>
          <w:lang w:val="nl-NL"/>
        </w:rPr>
        <w:t xml:space="preserve"> </w:t>
      </w:r>
      <w:r w:rsidR="00084299" w:rsidRPr="007D27AA">
        <w:rPr>
          <w:bCs/>
          <w:lang w:val="nl-NL"/>
        </w:rPr>
        <w:t>2022-2025</w:t>
      </w:r>
      <w:r w:rsidRPr="007D27AA">
        <w:rPr>
          <w:bCs/>
          <w:lang w:val="nl-NL"/>
        </w:rPr>
        <w:t>.</w:t>
      </w:r>
    </w:p>
    <w:p w14:paraId="476A2578" w14:textId="12EEA8CC" w:rsidR="007D27AA" w:rsidRPr="00CC2B79" w:rsidRDefault="007D27AA" w:rsidP="007D27AA">
      <w:pPr>
        <w:spacing w:line="320" w:lineRule="exact"/>
        <w:ind w:firstLine="720"/>
        <w:jc w:val="both"/>
        <w:rPr>
          <w:b/>
          <w:color w:val="000000"/>
          <w:shd w:val="clear" w:color="auto" w:fill="FFFFFF"/>
        </w:rPr>
      </w:pPr>
      <w:r>
        <w:rPr>
          <w:bCs/>
          <w:lang w:val="nl-NL"/>
        </w:rPr>
        <w:t xml:space="preserve">9. Ngày 18/5/2022, Sở Tài chính ban hành Giấy mời số 357/GM-STC </w:t>
      </w:r>
      <w:r w:rsidRPr="007D27AA">
        <w:rPr>
          <w:bCs/>
          <w:lang w:val="nl-NL"/>
        </w:rPr>
        <w:t>Về việc rà soát, thống nhất các nội dung nêu tại điểm b, khoản 1, Mục V, Quyết định số 263/QĐ-TTg ngày 22/2/2022 của Thủ tướng Chính phủ về phê duyệt chương trình mục tiêu quốc gia xây dựn</w:t>
      </w:r>
      <w:r>
        <w:rPr>
          <w:bCs/>
          <w:lang w:val="nl-NL"/>
        </w:rPr>
        <w:t>g nông thôn mới giai đoạn 2021-</w:t>
      </w:r>
      <w:r w:rsidRPr="007D27AA">
        <w:rPr>
          <w:bCs/>
          <w:lang w:val="nl-NL"/>
        </w:rPr>
        <w:t>2025, tham mưu UBND tỉnh trình HĐND tỉnh ban hành Nghị quyết về chính sách hỗ trợ đầu tư xây dựng hạ tầng điện phục vụ sinh hoạt, các khu sản xuất tập trung, tiểu thủ công nghiệp, thủy sản, chăn nuôi trên địa bàn tỉnh Đồng Nai giai đoạn 2022-2025.</w:t>
      </w:r>
    </w:p>
    <w:p w14:paraId="217E396E" w14:textId="646DCCEB" w:rsidR="00202A4F" w:rsidRPr="0039363F" w:rsidRDefault="007D27AA" w:rsidP="0039363F">
      <w:pPr>
        <w:spacing w:before="120" w:line="340" w:lineRule="exact"/>
        <w:ind w:firstLine="720"/>
        <w:jc w:val="both"/>
        <w:rPr>
          <w:bCs/>
          <w:lang w:val="nl-NL"/>
        </w:rPr>
      </w:pPr>
      <w:r>
        <w:rPr>
          <w:bCs/>
          <w:lang w:val="nl-NL"/>
        </w:rPr>
        <w:t>10</w:t>
      </w:r>
      <w:r w:rsidR="00202A4F" w:rsidRPr="0039363F">
        <w:rPr>
          <w:bCs/>
          <w:lang w:val="nl-NL"/>
        </w:rPr>
        <w:t xml:space="preserve">. Ngày …/…/2022, Sở </w:t>
      </w:r>
      <w:r w:rsidR="00421973" w:rsidRPr="0039363F">
        <w:rPr>
          <w:bCs/>
          <w:lang w:val="nl-NL"/>
        </w:rPr>
        <w:t>Tài chính</w:t>
      </w:r>
      <w:r w:rsidR="00202A4F" w:rsidRPr="0039363F">
        <w:rPr>
          <w:bCs/>
          <w:lang w:val="nl-NL"/>
        </w:rPr>
        <w:t xml:space="preserve"> ban hành văn</w:t>
      </w:r>
      <w:r w:rsidR="00421973" w:rsidRPr="0039363F">
        <w:rPr>
          <w:bCs/>
          <w:lang w:val="nl-NL"/>
        </w:rPr>
        <w:t xml:space="preserve"> bản</w:t>
      </w:r>
      <w:r w:rsidR="00202A4F" w:rsidRPr="0039363F">
        <w:rPr>
          <w:bCs/>
          <w:lang w:val="nl-NL"/>
        </w:rPr>
        <w:t xml:space="preserve"> số…/S</w:t>
      </w:r>
      <w:r w:rsidR="00166FB7" w:rsidRPr="0039363F">
        <w:rPr>
          <w:bCs/>
          <w:lang w:val="nl-NL"/>
        </w:rPr>
        <w:t>TC</w:t>
      </w:r>
      <w:r w:rsidR="00202A4F" w:rsidRPr="0039363F">
        <w:rPr>
          <w:bCs/>
          <w:lang w:val="nl-NL"/>
        </w:rPr>
        <w:t>-</w:t>
      </w:r>
      <w:r w:rsidR="00166FB7" w:rsidRPr="0039363F">
        <w:rPr>
          <w:bCs/>
          <w:lang w:val="nl-NL"/>
        </w:rPr>
        <w:t>QLNS</w:t>
      </w:r>
      <w:r w:rsidR="00202A4F" w:rsidRPr="0039363F">
        <w:rPr>
          <w:bCs/>
          <w:lang w:val="nl-NL"/>
        </w:rPr>
        <w:t xml:space="preserve"> gửi các sở, ngành, địa phương và đơn vị đóng góp ý kiến dự thảo </w:t>
      </w:r>
      <w:r>
        <w:rPr>
          <w:bCs/>
          <w:lang w:val="nl-NL"/>
        </w:rPr>
        <w:t xml:space="preserve">Báo cáo đánh giá tác động, Tờ trình, </w:t>
      </w:r>
      <w:r w:rsidR="00166FB7" w:rsidRPr="0039363F">
        <w:rPr>
          <w:bCs/>
          <w:lang w:val="nl-NL"/>
        </w:rPr>
        <w:t>Nghị quyết về chính sách hỗ trợ đầu tư xây dựng hạ tầng điện phục vụ điện sinh hoạt, các khu sản xuất tập trung, tiểu thủ công nghiệp, thủy sản, chăn nuôi trên địa bàn tỉnh Đồng Nai giai đoạn 2022-2025</w:t>
      </w:r>
      <w:r w:rsidR="0039363F" w:rsidRPr="0039363F">
        <w:rPr>
          <w:bCs/>
          <w:lang w:val="nl-NL"/>
        </w:rPr>
        <w:t>.</w:t>
      </w:r>
    </w:p>
    <w:p w14:paraId="1C51DC8A" w14:textId="43C4A809" w:rsidR="008B7DE0" w:rsidRPr="0039363F" w:rsidRDefault="007D27AA" w:rsidP="0039363F">
      <w:pPr>
        <w:spacing w:before="120" w:line="340" w:lineRule="exact"/>
        <w:ind w:firstLine="720"/>
        <w:jc w:val="both"/>
        <w:rPr>
          <w:bCs/>
          <w:lang w:val="nl-NL"/>
        </w:rPr>
      </w:pPr>
      <w:r>
        <w:rPr>
          <w:bCs/>
          <w:lang w:val="nl-NL"/>
        </w:rPr>
        <w:t>11</w:t>
      </w:r>
      <w:r w:rsidR="008B7DE0" w:rsidRPr="0039363F">
        <w:rPr>
          <w:bCs/>
          <w:lang w:val="nl-NL"/>
        </w:rPr>
        <w:t xml:space="preserve">. Ngày …/…/2022, Sở Tài chính ban hành văn bản số…/STC-QLNS gửi Văn phòng UBND tỉnh về đăng nội dung công khai trên </w:t>
      </w:r>
      <w:r w:rsidR="0039363F" w:rsidRPr="0039363F">
        <w:rPr>
          <w:bCs/>
          <w:lang w:val="nl-NL"/>
        </w:rPr>
        <w:t xml:space="preserve">cổng thông tin điện tử của tỉnh và </w:t>
      </w:r>
      <w:r w:rsidR="008B7DE0" w:rsidRPr="0039363F">
        <w:rPr>
          <w:bCs/>
          <w:lang w:val="nl-NL"/>
        </w:rPr>
        <w:t xml:space="preserve">website Sở </w:t>
      </w:r>
      <w:r w:rsidR="0039363F" w:rsidRPr="0039363F">
        <w:rPr>
          <w:bCs/>
          <w:lang w:val="nl-NL"/>
        </w:rPr>
        <w:t>Tài chính</w:t>
      </w:r>
      <w:r w:rsidR="008B7DE0" w:rsidRPr="0039363F">
        <w:rPr>
          <w:bCs/>
          <w:lang w:val="nl-NL"/>
        </w:rPr>
        <w:t xml:space="preserve"> để lấy ý kiến nhân dân về đóng góp dự thảo ý kiến dự thảo </w:t>
      </w:r>
      <w:r>
        <w:rPr>
          <w:bCs/>
          <w:lang w:val="nl-NL"/>
        </w:rPr>
        <w:t xml:space="preserve">Báo cáo đánh giá tác động, Tờ trình, </w:t>
      </w:r>
      <w:r w:rsidR="008B7DE0" w:rsidRPr="0039363F">
        <w:rPr>
          <w:bCs/>
          <w:lang w:val="nl-NL"/>
        </w:rPr>
        <w:t>Nghị quyết về chính sách hỗ trợ đầu tư xây dựng hạ tầng điện phục vụ điện sinh hoạt, các khu sản xuất tập trung, tiểu thủ công nghiệp, thủy sản, chăn nuôi trên địa bàn tỉnh Đồng Nai giai đoạn 2022-2025</w:t>
      </w:r>
      <w:r w:rsidR="0039363F" w:rsidRPr="0039363F">
        <w:rPr>
          <w:bCs/>
          <w:lang w:val="nl-NL"/>
        </w:rPr>
        <w:t>.</w:t>
      </w:r>
    </w:p>
    <w:p w14:paraId="60BF8B51" w14:textId="5D010076" w:rsidR="00202A4F" w:rsidRPr="0039363F" w:rsidRDefault="007D27AA" w:rsidP="0039363F">
      <w:pPr>
        <w:spacing w:before="120" w:line="340" w:lineRule="exact"/>
        <w:ind w:firstLine="720"/>
        <w:jc w:val="both"/>
        <w:rPr>
          <w:bCs/>
          <w:lang w:val="nl-NL"/>
        </w:rPr>
      </w:pPr>
      <w:r>
        <w:rPr>
          <w:bCs/>
          <w:lang w:val="nl-NL"/>
        </w:rPr>
        <w:t>12</w:t>
      </w:r>
      <w:r w:rsidR="00202A4F" w:rsidRPr="0039363F">
        <w:rPr>
          <w:bCs/>
          <w:lang w:val="nl-NL"/>
        </w:rPr>
        <w:t>. Trên cơ sở văn bản góp ý của các sở, ngành, địa phương, đơn vị</w:t>
      </w:r>
      <w:r w:rsidR="00D45A0C" w:rsidRPr="0039363F">
        <w:rPr>
          <w:bCs/>
          <w:lang w:val="nl-NL"/>
        </w:rPr>
        <w:t xml:space="preserve"> (… văn bản của … đơn vị), cá nhân;</w:t>
      </w:r>
      <w:r w:rsidR="00202A4F" w:rsidRPr="0039363F">
        <w:rPr>
          <w:bCs/>
          <w:lang w:val="nl-NL"/>
        </w:rPr>
        <w:t xml:space="preserve"> Sở </w:t>
      </w:r>
      <w:r w:rsidR="0039363F" w:rsidRPr="0039363F">
        <w:rPr>
          <w:bCs/>
          <w:lang w:val="nl-NL"/>
        </w:rPr>
        <w:t>Tài chính</w:t>
      </w:r>
      <w:r w:rsidR="00202A4F" w:rsidRPr="0039363F">
        <w:rPr>
          <w:bCs/>
          <w:lang w:val="nl-NL"/>
        </w:rPr>
        <w:t xml:space="preserve"> </w:t>
      </w:r>
      <w:r w:rsidR="00D45A0C" w:rsidRPr="0039363F">
        <w:rPr>
          <w:bCs/>
          <w:lang w:val="nl-NL"/>
        </w:rPr>
        <w:t xml:space="preserve">tổng hợp, tiếp thu, </w:t>
      </w:r>
      <w:r w:rsidR="00202A4F" w:rsidRPr="0039363F">
        <w:rPr>
          <w:bCs/>
          <w:lang w:val="nl-NL"/>
        </w:rPr>
        <w:t>hoàn chỉnh dự thảo Nghị quyết và gửi Sở Tư pháp thẩm định;</w:t>
      </w:r>
    </w:p>
    <w:p w14:paraId="47EDF6F7" w14:textId="3AC9834A" w:rsidR="008761DC" w:rsidRPr="0039363F" w:rsidRDefault="007D27AA" w:rsidP="0039363F">
      <w:pPr>
        <w:spacing w:before="120" w:line="340" w:lineRule="exact"/>
        <w:ind w:firstLine="720"/>
        <w:jc w:val="both"/>
        <w:rPr>
          <w:bCs/>
          <w:lang w:val="nl-NL"/>
        </w:rPr>
      </w:pPr>
      <w:r>
        <w:rPr>
          <w:bCs/>
          <w:lang w:val="nl-NL"/>
        </w:rPr>
        <w:t>13</w:t>
      </w:r>
      <w:r w:rsidR="00126C84" w:rsidRPr="0039363F">
        <w:rPr>
          <w:bCs/>
          <w:lang w:val="nl-NL"/>
        </w:rPr>
        <w:t xml:space="preserve">. Sau khi hoàn chỉnh dự thảo Nghị quyết trên cơ sở ý kiến thẩm định của Sở Tư pháp, Sở </w:t>
      </w:r>
      <w:r w:rsidR="0039363F" w:rsidRPr="0039363F">
        <w:rPr>
          <w:bCs/>
          <w:lang w:val="nl-NL"/>
        </w:rPr>
        <w:t>Tài chính</w:t>
      </w:r>
      <w:r w:rsidR="00126C84" w:rsidRPr="0039363F">
        <w:rPr>
          <w:bCs/>
          <w:lang w:val="nl-NL"/>
        </w:rPr>
        <w:t xml:space="preserve"> báo cáo Ủy ban nhân dân tỉnh xem xét, </w:t>
      </w:r>
      <w:r w:rsidR="008761DC" w:rsidRPr="0039363F">
        <w:rPr>
          <w:bCs/>
          <w:lang w:val="nl-NL"/>
        </w:rPr>
        <w:t xml:space="preserve">gửi </w:t>
      </w:r>
      <w:r w:rsidR="00D45A0C" w:rsidRPr="0039363F">
        <w:rPr>
          <w:bCs/>
          <w:lang w:val="nl-NL"/>
        </w:rPr>
        <w:t>xin</w:t>
      </w:r>
      <w:r w:rsidR="008761DC" w:rsidRPr="0039363F">
        <w:rPr>
          <w:bCs/>
          <w:lang w:val="nl-NL"/>
        </w:rPr>
        <w:t xml:space="preserve"> ý kiến thẩm định của Ban Kinh tế Ngân sách – Hội đồng nhân dân tỉnh;</w:t>
      </w:r>
    </w:p>
    <w:p w14:paraId="4CC712AB" w14:textId="4F6DA2D2" w:rsidR="008761DC" w:rsidRPr="0039363F" w:rsidRDefault="007D27AA" w:rsidP="0039363F">
      <w:pPr>
        <w:spacing w:before="120" w:line="340" w:lineRule="exact"/>
        <w:ind w:firstLine="720"/>
        <w:jc w:val="both"/>
        <w:rPr>
          <w:bCs/>
          <w:lang w:val="nl-NL"/>
        </w:rPr>
      </w:pPr>
      <w:r>
        <w:rPr>
          <w:bCs/>
          <w:lang w:val="nl-NL"/>
        </w:rPr>
        <w:t>14</w:t>
      </w:r>
      <w:r w:rsidR="008761DC" w:rsidRPr="0039363F">
        <w:rPr>
          <w:bCs/>
          <w:lang w:val="nl-NL"/>
        </w:rPr>
        <w:t>. Trên cơ sở ý kiến thẩm định của Ban Kinh tế Ngân sách – Hội đồng nhân dân tỉnh, Ủy ban nhân dân tỉnh hoàn hoàn chỉnh dự thảo Nghị quyết và trình  Hội đồng nhân dân tỉnh xem xét, ban hành.</w:t>
      </w:r>
    </w:p>
    <w:p w14:paraId="5C165279" w14:textId="77777777" w:rsidR="00D31EFE" w:rsidRPr="0039363F" w:rsidRDefault="00D31EFE" w:rsidP="0039363F">
      <w:pPr>
        <w:spacing w:before="120" w:line="340" w:lineRule="exact"/>
        <w:ind w:firstLine="720"/>
        <w:jc w:val="both"/>
        <w:rPr>
          <w:b/>
          <w:lang w:val="nl-NL"/>
        </w:rPr>
      </w:pPr>
      <w:r w:rsidRPr="0039363F">
        <w:rPr>
          <w:b/>
          <w:lang w:val="nl-NL"/>
        </w:rPr>
        <w:t>IV. GIÁM SÁT VÀ ĐÁNH GIÁ</w:t>
      </w:r>
    </w:p>
    <w:p w14:paraId="5F66CEA3" w14:textId="29841C8F" w:rsidR="00D31EFE" w:rsidRPr="0039363F" w:rsidRDefault="00D31EFE" w:rsidP="0039363F">
      <w:pPr>
        <w:spacing w:before="120" w:line="340" w:lineRule="exact"/>
        <w:ind w:firstLine="720"/>
        <w:jc w:val="both"/>
        <w:rPr>
          <w:bCs/>
          <w:lang w:val="nl-NL"/>
        </w:rPr>
      </w:pPr>
      <w:r w:rsidRPr="0039363F">
        <w:rPr>
          <w:bCs/>
          <w:lang w:val="nl-NL"/>
        </w:rPr>
        <w:t>1. Cơ quan chịu trách nhiệm tổ chức thi hành chính sách</w:t>
      </w:r>
    </w:p>
    <w:p w14:paraId="34DD9A11" w14:textId="5ED7B1BA" w:rsidR="00E22293" w:rsidRPr="0039363F" w:rsidRDefault="00E22293" w:rsidP="0039363F">
      <w:pPr>
        <w:spacing w:before="120" w:line="340" w:lineRule="exact"/>
        <w:ind w:firstLine="720"/>
        <w:jc w:val="both"/>
        <w:rPr>
          <w:bCs/>
          <w:lang w:val="nl-NL"/>
        </w:rPr>
      </w:pPr>
      <w:r w:rsidRPr="0039363F">
        <w:rPr>
          <w:bCs/>
          <w:lang w:val="nl-NL"/>
        </w:rPr>
        <w:t>- Ủy ban nhân dân tỉnh có trách nhiệm tổ chức triển khai thực hiện Nghị quyết này, định kỳ báo cáo, đánh giá kết quả thực hiện theo quy định.</w:t>
      </w:r>
    </w:p>
    <w:p w14:paraId="01364526" w14:textId="795F8AA0" w:rsidR="00D31EFE" w:rsidRPr="0039363F" w:rsidRDefault="00D31EFE" w:rsidP="0039363F">
      <w:pPr>
        <w:spacing w:before="120" w:line="340" w:lineRule="exact"/>
        <w:ind w:firstLine="720"/>
        <w:jc w:val="both"/>
        <w:rPr>
          <w:bCs/>
          <w:lang w:val="nl-NL"/>
        </w:rPr>
      </w:pPr>
      <w:r w:rsidRPr="0039363F">
        <w:rPr>
          <w:bCs/>
          <w:lang w:val="nl-NL"/>
        </w:rPr>
        <w:t xml:space="preserve">- </w:t>
      </w:r>
      <w:r w:rsidR="0039363F" w:rsidRPr="0039363F">
        <w:rPr>
          <w:bCs/>
          <w:lang w:val="nl-NL"/>
        </w:rPr>
        <w:t xml:space="preserve">Sở Tài chính, </w:t>
      </w:r>
      <w:r w:rsidR="00E22293" w:rsidRPr="0039363F">
        <w:rPr>
          <w:bCs/>
          <w:lang w:val="nl-NL"/>
        </w:rPr>
        <w:t>Sở Công Thương</w:t>
      </w:r>
      <w:r w:rsidRPr="0039363F">
        <w:rPr>
          <w:bCs/>
          <w:lang w:val="nl-NL"/>
        </w:rPr>
        <w:t xml:space="preserve"> và các sở, ngành có liên quan.</w:t>
      </w:r>
    </w:p>
    <w:p w14:paraId="1A077083" w14:textId="77777777" w:rsidR="00D31EFE" w:rsidRPr="0039363F" w:rsidRDefault="00D31EFE" w:rsidP="0039363F">
      <w:pPr>
        <w:spacing w:before="120" w:line="340" w:lineRule="exact"/>
        <w:ind w:firstLine="720"/>
        <w:jc w:val="both"/>
        <w:rPr>
          <w:bCs/>
          <w:lang w:val="nl-NL"/>
        </w:rPr>
      </w:pPr>
      <w:r w:rsidRPr="0039363F">
        <w:rPr>
          <w:bCs/>
          <w:lang w:val="nl-NL"/>
        </w:rPr>
        <w:lastRenderedPageBreak/>
        <w:t>- Ủy ban nhân dân các huyện, thành phố Long Khánh và thành phố Biên Hòa.</w:t>
      </w:r>
    </w:p>
    <w:p w14:paraId="2A7423CA" w14:textId="77777777" w:rsidR="00D31EFE" w:rsidRPr="0039363F" w:rsidRDefault="00D31EFE" w:rsidP="0039363F">
      <w:pPr>
        <w:spacing w:before="120" w:line="340" w:lineRule="exact"/>
        <w:ind w:firstLine="720"/>
        <w:jc w:val="both"/>
        <w:rPr>
          <w:bCs/>
          <w:lang w:val="nl-NL"/>
        </w:rPr>
      </w:pPr>
      <w:r w:rsidRPr="0039363F">
        <w:rPr>
          <w:bCs/>
          <w:lang w:val="nl-NL"/>
        </w:rPr>
        <w:t xml:space="preserve">2. Cơ quan chịu trách nhiệm giám sát đánh giá việc thực hiện chính sách </w:t>
      </w:r>
    </w:p>
    <w:p w14:paraId="53E57B3C" w14:textId="3C597FBA" w:rsidR="00E22293" w:rsidRPr="0039363F" w:rsidRDefault="00E22293" w:rsidP="0039363F">
      <w:pPr>
        <w:spacing w:before="120" w:line="340" w:lineRule="exact"/>
        <w:ind w:firstLine="720"/>
        <w:jc w:val="both"/>
        <w:rPr>
          <w:bCs/>
          <w:lang w:val="nl-NL"/>
        </w:rPr>
      </w:pPr>
      <w:r w:rsidRPr="0039363F">
        <w:rPr>
          <w:bCs/>
          <w:lang w:val="nl-NL"/>
        </w:rPr>
        <w:t>- Thường trực Hội đồng nhân dân tỉnh, các Ban Hội đồng nhân dân, các Tổ đại biểu Hội đồng nhân dân  và đại biểu Hội đồng nhân dân tỉnh giám sát việc triển khai, thực hiện Nghị quyết theo quy định.</w:t>
      </w:r>
    </w:p>
    <w:p w14:paraId="25B57C5F" w14:textId="1E319ADA" w:rsidR="00E22293" w:rsidRPr="0039363F" w:rsidRDefault="00E22293" w:rsidP="0039363F">
      <w:pPr>
        <w:spacing w:before="120" w:line="340" w:lineRule="exact"/>
        <w:ind w:firstLine="720"/>
        <w:jc w:val="both"/>
        <w:rPr>
          <w:bCs/>
          <w:lang w:val="nl-NL"/>
        </w:rPr>
      </w:pPr>
      <w:r w:rsidRPr="0039363F">
        <w:rPr>
          <w:bCs/>
          <w:lang w:val="nl-NL"/>
        </w:rPr>
        <w:t>-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2EDA8E52" w14:textId="40C74509" w:rsidR="00D31EFE" w:rsidRPr="00FC7406" w:rsidRDefault="00D31EFE" w:rsidP="0039363F">
      <w:pPr>
        <w:spacing w:before="120" w:line="340" w:lineRule="exact"/>
        <w:ind w:firstLine="720"/>
        <w:jc w:val="both"/>
        <w:rPr>
          <w:bCs/>
        </w:rPr>
      </w:pPr>
      <w:r w:rsidRPr="0039363F">
        <w:rPr>
          <w:bCs/>
          <w:lang w:val="nl-NL"/>
        </w:rPr>
        <w:t xml:space="preserve">Trên đây là Báo cáo đánh giá tác động chính sách của Ủy ban nhân dân tỉnh </w:t>
      </w:r>
      <w:r w:rsidR="00C95B5D" w:rsidRPr="0039363F">
        <w:rPr>
          <w:bCs/>
          <w:lang w:val="nl-NL"/>
        </w:rPr>
        <w:t xml:space="preserve">liên quan đến </w:t>
      </w:r>
      <w:r w:rsidR="0039363F" w:rsidRPr="0039363F">
        <w:rPr>
          <w:bCs/>
          <w:lang w:val="nl-NL"/>
        </w:rPr>
        <w:t>chính sách</w:t>
      </w:r>
      <w:r w:rsidR="0039363F" w:rsidRPr="0039363F">
        <w:rPr>
          <w:bCs/>
          <w:color w:val="000000"/>
          <w:shd w:val="clear" w:color="auto" w:fill="FFFFFF"/>
          <w:lang w:val="vi-VN"/>
        </w:rPr>
        <w:t xml:space="preserve"> hỗ trợ đầu tư xây dựng hạ tầng điện phục vụ điện sinh hoạt, các khu sản xuất tập trung, tiểu thủ công nghiệp, thủy sản, chăn nuôi trên địa bàn tỉnh Đồng Nai</w:t>
      </w:r>
      <w:r w:rsidRPr="00154B39">
        <w:rPr>
          <w:bCs/>
        </w:rPr>
        <w:t>./.</w:t>
      </w:r>
    </w:p>
    <w:tbl>
      <w:tblPr>
        <w:tblW w:w="8964" w:type="dxa"/>
        <w:tblInd w:w="108" w:type="dxa"/>
        <w:tblLook w:val="01E0" w:firstRow="1" w:lastRow="1" w:firstColumn="1" w:lastColumn="1" w:noHBand="0" w:noVBand="0"/>
      </w:tblPr>
      <w:tblGrid>
        <w:gridCol w:w="5137"/>
        <w:gridCol w:w="3827"/>
      </w:tblGrid>
      <w:tr w:rsidR="00D31EFE" w:rsidRPr="00172E46" w14:paraId="792EE283" w14:textId="77777777" w:rsidTr="0015400B">
        <w:trPr>
          <w:trHeight w:val="2149"/>
        </w:trPr>
        <w:tc>
          <w:tcPr>
            <w:tcW w:w="5137" w:type="dxa"/>
          </w:tcPr>
          <w:p w14:paraId="4566A178" w14:textId="77777777" w:rsidR="00D31EFE" w:rsidRPr="00172E46" w:rsidRDefault="00D31EFE" w:rsidP="00FB6E30">
            <w:pPr>
              <w:widowControl w:val="0"/>
              <w:rPr>
                <w:b/>
                <w:noProof/>
                <w:sz w:val="24"/>
                <w:szCs w:val="24"/>
                <w:lang w:val="vi-VN"/>
              </w:rPr>
            </w:pPr>
            <w:r w:rsidRPr="00172E46">
              <w:rPr>
                <w:b/>
                <w:i/>
                <w:noProof/>
                <w:sz w:val="24"/>
                <w:szCs w:val="24"/>
                <w:lang w:val="vi-VN"/>
              </w:rPr>
              <w:t xml:space="preserve"> Nơi nhận:</w:t>
            </w:r>
          </w:p>
          <w:p w14:paraId="0D4D5C7A" w14:textId="4CB52A65" w:rsidR="00D31EFE" w:rsidRPr="00172E46" w:rsidRDefault="00AE452C" w:rsidP="00FB6E30">
            <w:pPr>
              <w:widowControl w:val="0"/>
              <w:tabs>
                <w:tab w:val="left" w:pos="308"/>
              </w:tabs>
              <w:rPr>
                <w:noProof/>
                <w:sz w:val="22"/>
                <w:szCs w:val="22"/>
              </w:rPr>
            </w:pPr>
            <w:r>
              <w:rPr>
                <w:noProof/>
                <w:sz w:val="22"/>
                <w:szCs w:val="22"/>
                <w:lang w:val="en-GB"/>
              </w:rPr>
              <w:t xml:space="preserve">- </w:t>
            </w:r>
            <w:r w:rsidR="00D31EFE" w:rsidRPr="00172E46">
              <w:rPr>
                <w:noProof/>
                <w:sz w:val="22"/>
                <w:szCs w:val="22"/>
              </w:rPr>
              <w:t>Thường trực Tỉnh ủy</w:t>
            </w:r>
            <w:r w:rsidR="00D31EFE" w:rsidRPr="00172E46">
              <w:rPr>
                <w:noProof/>
                <w:sz w:val="22"/>
                <w:szCs w:val="22"/>
                <w:lang w:val="vi-VN"/>
              </w:rPr>
              <w:t>;</w:t>
            </w:r>
          </w:p>
          <w:p w14:paraId="6BE16CAA" w14:textId="2D8C437B" w:rsidR="00D31EFE" w:rsidRDefault="00D31EFE" w:rsidP="00FB6E30">
            <w:pPr>
              <w:widowControl w:val="0"/>
              <w:tabs>
                <w:tab w:val="left" w:pos="308"/>
              </w:tabs>
              <w:rPr>
                <w:noProof/>
                <w:sz w:val="22"/>
                <w:szCs w:val="22"/>
              </w:rPr>
            </w:pPr>
            <w:r w:rsidRPr="00172E46">
              <w:rPr>
                <w:noProof/>
                <w:sz w:val="22"/>
                <w:szCs w:val="22"/>
              </w:rPr>
              <w:t>- Thường trực HĐND tỉnh;</w:t>
            </w:r>
          </w:p>
          <w:p w14:paraId="1A042F59" w14:textId="77777777" w:rsidR="00B978B2" w:rsidRDefault="0015400B" w:rsidP="00FB6E30">
            <w:pPr>
              <w:widowControl w:val="0"/>
              <w:tabs>
                <w:tab w:val="left" w:pos="308"/>
              </w:tabs>
              <w:rPr>
                <w:noProof/>
                <w:sz w:val="22"/>
                <w:szCs w:val="22"/>
              </w:rPr>
            </w:pPr>
            <w:r>
              <w:rPr>
                <w:noProof/>
                <w:sz w:val="22"/>
                <w:szCs w:val="22"/>
              </w:rPr>
              <w:t xml:space="preserve">- Các </w:t>
            </w:r>
            <w:r w:rsidRPr="00172E46">
              <w:rPr>
                <w:noProof/>
                <w:sz w:val="22"/>
                <w:szCs w:val="22"/>
              </w:rPr>
              <w:t>Sở</w:t>
            </w:r>
            <w:r>
              <w:rPr>
                <w:noProof/>
                <w:sz w:val="22"/>
                <w:szCs w:val="22"/>
              </w:rPr>
              <w:t>:</w:t>
            </w:r>
            <w:r w:rsidRPr="00172E46">
              <w:rPr>
                <w:noProof/>
                <w:sz w:val="22"/>
                <w:szCs w:val="22"/>
              </w:rPr>
              <w:t xml:space="preserve"> </w:t>
            </w:r>
            <w:r>
              <w:rPr>
                <w:noProof/>
                <w:sz w:val="22"/>
                <w:szCs w:val="22"/>
              </w:rPr>
              <w:t xml:space="preserve">Công Thương, </w:t>
            </w:r>
            <w:r w:rsidRPr="00172E46">
              <w:rPr>
                <w:noProof/>
                <w:sz w:val="22"/>
                <w:szCs w:val="22"/>
              </w:rPr>
              <w:t>Tư pháp</w:t>
            </w:r>
            <w:r>
              <w:rPr>
                <w:noProof/>
                <w:sz w:val="22"/>
                <w:szCs w:val="22"/>
              </w:rPr>
              <w:t xml:space="preserve">, </w:t>
            </w:r>
            <w:r w:rsidRPr="00172E46">
              <w:rPr>
                <w:noProof/>
                <w:sz w:val="22"/>
                <w:szCs w:val="22"/>
              </w:rPr>
              <w:t>Tài chính</w:t>
            </w:r>
            <w:r>
              <w:rPr>
                <w:noProof/>
                <w:sz w:val="22"/>
                <w:szCs w:val="22"/>
              </w:rPr>
              <w:t xml:space="preserve">, </w:t>
            </w:r>
          </w:p>
          <w:p w14:paraId="79057E8D" w14:textId="19D84CBA" w:rsidR="0015400B" w:rsidRPr="00172E46" w:rsidRDefault="0015400B" w:rsidP="00FB6E30">
            <w:pPr>
              <w:widowControl w:val="0"/>
              <w:tabs>
                <w:tab w:val="left" w:pos="308"/>
              </w:tabs>
              <w:rPr>
                <w:noProof/>
                <w:sz w:val="22"/>
                <w:szCs w:val="22"/>
              </w:rPr>
            </w:pPr>
            <w:r>
              <w:rPr>
                <w:noProof/>
                <w:sz w:val="22"/>
                <w:szCs w:val="22"/>
              </w:rPr>
              <w:t>Kế hoạch và Đầu tư;</w:t>
            </w:r>
          </w:p>
          <w:p w14:paraId="4212A660" w14:textId="77777777" w:rsidR="00D31EFE" w:rsidRPr="00172E46" w:rsidRDefault="00D31EFE" w:rsidP="00FB6E30">
            <w:pPr>
              <w:widowControl w:val="0"/>
              <w:tabs>
                <w:tab w:val="left" w:pos="308"/>
              </w:tabs>
              <w:rPr>
                <w:noProof/>
                <w:sz w:val="22"/>
                <w:szCs w:val="22"/>
              </w:rPr>
            </w:pPr>
            <w:r w:rsidRPr="00172E46">
              <w:rPr>
                <w:noProof/>
                <w:sz w:val="22"/>
                <w:szCs w:val="22"/>
              </w:rPr>
              <w:t>- Chủ tịch, các PCT UBND tỉnh;</w:t>
            </w:r>
          </w:p>
          <w:p w14:paraId="60858B03" w14:textId="77777777" w:rsidR="00D31EFE" w:rsidRPr="00172E46" w:rsidRDefault="00D31EFE" w:rsidP="00FB6E30">
            <w:pPr>
              <w:widowControl w:val="0"/>
              <w:tabs>
                <w:tab w:val="left" w:pos="6645"/>
              </w:tabs>
              <w:rPr>
                <w:sz w:val="22"/>
                <w:szCs w:val="22"/>
                <w:lang w:val="nl-NL"/>
              </w:rPr>
            </w:pPr>
            <w:r w:rsidRPr="00172E46">
              <w:rPr>
                <w:sz w:val="22"/>
                <w:szCs w:val="22"/>
                <w:lang w:val="nl-NL"/>
              </w:rPr>
              <w:t xml:space="preserve">- Chánh, Phó CVP UBND tỉnh;                                                </w:t>
            </w:r>
          </w:p>
          <w:p w14:paraId="00BA3920" w14:textId="68E700DB" w:rsidR="00D31EFE" w:rsidRPr="00172E46" w:rsidRDefault="00D31EFE" w:rsidP="0015400B">
            <w:pPr>
              <w:widowControl w:val="0"/>
              <w:tabs>
                <w:tab w:val="left" w:pos="308"/>
              </w:tabs>
              <w:rPr>
                <w:noProof/>
                <w:lang w:val="vi-VN"/>
              </w:rPr>
            </w:pPr>
            <w:r w:rsidRPr="00172E46">
              <w:rPr>
                <w:noProof/>
                <w:sz w:val="22"/>
                <w:szCs w:val="22"/>
              </w:rPr>
              <w:t xml:space="preserve">- </w:t>
            </w:r>
            <w:r w:rsidRPr="00172E46">
              <w:rPr>
                <w:noProof/>
                <w:sz w:val="22"/>
                <w:szCs w:val="22"/>
                <w:lang w:val="vi-VN"/>
              </w:rPr>
              <w:t xml:space="preserve">Lưu: VT, </w:t>
            </w:r>
            <w:r w:rsidR="003F5FFD">
              <w:rPr>
                <w:noProof/>
                <w:sz w:val="22"/>
                <w:szCs w:val="22"/>
                <w:lang w:val="en-GB"/>
              </w:rPr>
              <w:t>KTNS.</w:t>
            </w:r>
            <w:r w:rsidRPr="00172E46">
              <w:rPr>
                <w:noProof/>
                <w:lang w:val="vi-VN"/>
              </w:rPr>
              <w:t xml:space="preserve">                                                     </w:t>
            </w:r>
          </w:p>
        </w:tc>
        <w:tc>
          <w:tcPr>
            <w:tcW w:w="3827" w:type="dxa"/>
          </w:tcPr>
          <w:p w14:paraId="032E2A10" w14:textId="77777777" w:rsidR="00D31EFE" w:rsidRPr="00172E46" w:rsidRDefault="00D31EFE" w:rsidP="00FB6E30">
            <w:pPr>
              <w:widowControl w:val="0"/>
              <w:jc w:val="center"/>
              <w:rPr>
                <w:b/>
                <w:noProof/>
              </w:rPr>
            </w:pPr>
            <w:r w:rsidRPr="00172E46">
              <w:rPr>
                <w:b/>
                <w:noProof/>
              </w:rPr>
              <w:t>CHỦ TỊCH</w:t>
            </w:r>
          </w:p>
          <w:p w14:paraId="1D106C73" w14:textId="77777777" w:rsidR="00D31EFE" w:rsidRPr="00172E46" w:rsidRDefault="00D31EFE" w:rsidP="00FB6E30">
            <w:pPr>
              <w:widowControl w:val="0"/>
              <w:jc w:val="center"/>
              <w:rPr>
                <w:b/>
                <w:noProof/>
                <w:lang w:val="vi-VN"/>
              </w:rPr>
            </w:pPr>
          </w:p>
          <w:p w14:paraId="1A1D4571" w14:textId="77777777" w:rsidR="00D31EFE" w:rsidRPr="00172E46" w:rsidRDefault="00D31EFE" w:rsidP="00FB6E30">
            <w:pPr>
              <w:widowControl w:val="0"/>
              <w:jc w:val="center"/>
              <w:rPr>
                <w:b/>
                <w:i/>
                <w:noProof/>
                <w:lang w:val="vi-VN"/>
              </w:rPr>
            </w:pPr>
            <w:r w:rsidRPr="00172E46">
              <w:rPr>
                <w:b/>
                <w:i/>
                <w:noProof/>
                <w:lang w:val="vi-VN"/>
              </w:rPr>
              <w:t xml:space="preserve"> </w:t>
            </w:r>
          </w:p>
          <w:p w14:paraId="6FFDBA15" w14:textId="3086B459" w:rsidR="00D31EFE" w:rsidRDefault="00D31EFE" w:rsidP="00FB6E30">
            <w:pPr>
              <w:widowControl w:val="0"/>
              <w:jc w:val="center"/>
              <w:rPr>
                <w:b/>
                <w:i/>
                <w:noProof/>
              </w:rPr>
            </w:pPr>
          </w:p>
          <w:p w14:paraId="3AC19718" w14:textId="77777777" w:rsidR="00A839C7" w:rsidRPr="00172E46" w:rsidRDefault="00A839C7" w:rsidP="00FB6E30">
            <w:pPr>
              <w:widowControl w:val="0"/>
              <w:jc w:val="center"/>
              <w:rPr>
                <w:b/>
                <w:i/>
                <w:noProof/>
              </w:rPr>
            </w:pPr>
          </w:p>
          <w:p w14:paraId="575B5E57" w14:textId="77777777" w:rsidR="00D31EFE" w:rsidRPr="00172E46" w:rsidRDefault="00D31EFE" w:rsidP="00FB6E30">
            <w:pPr>
              <w:widowControl w:val="0"/>
              <w:jc w:val="center"/>
              <w:rPr>
                <w:b/>
                <w:i/>
                <w:noProof/>
                <w:lang w:val="vi-VN"/>
              </w:rPr>
            </w:pPr>
          </w:p>
          <w:p w14:paraId="673F0EFD" w14:textId="77777777" w:rsidR="00D31EFE" w:rsidRPr="00172E46" w:rsidRDefault="00D31EFE" w:rsidP="00FB6E30">
            <w:pPr>
              <w:widowControl w:val="0"/>
              <w:jc w:val="center"/>
              <w:rPr>
                <w:b/>
                <w:noProof/>
              </w:rPr>
            </w:pPr>
            <w:r w:rsidRPr="00172E46">
              <w:rPr>
                <w:b/>
                <w:noProof/>
              </w:rPr>
              <w:t>Cao Tiến Dũng</w:t>
            </w:r>
          </w:p>
        </w:tc>
      </w:tr>
    </w:tbl>
    <w:p w14:paraId="39905D8E" w14:textId="77777777" w:rsidR="00A8409F" w:rsidRDefault="00BC6B73" w:rsidP="00FB6E30">
      <w:pPr>
        <w:widowControl w:val="0"/>
      </w:pPr>
    </w:p>
    <w:sectPr w:rsidR="00A8409F" w:rsidSect="00344D6E">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7ADD0" w14:textId="77777777" w:rsidR="00BC6B73" w:rsidRDefault="00BC6B73" w:rsidP="00D31EFE">
      <w:r>
        <w:separator/>
      </w:r>
    </w:p>
  </w:endnote>
  <w:endnote w:type="continuationSeparator" w:id="0">
    <w:p w14:paraId="6532EE71" w14:textId="77777777" w:rsidR="00BC6B73" w:rsidRDefault="00BC6B73" w:rsidP="00D3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26C72" w14:textId="77777777" w:rsidR="00BC6B73" w:rsidRDefault="00BC6B73" w:rsidP="00D31EFE">
      <w:r>
        <w:separator/>
      </w:r>
    </w:p>
  </w:footnote>
  <w:footnote w:type="continuationSeparator" w:id="0">
    <w:p w14:paraId="16328053" w14:textId="77777777" w:rsidR="00BC6B73" w:rsidRDefault="00BC6B73" w:rsidP="00D31E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26579"/>
      <w:docPartObj>
        <w:docPartGallery w:val="Page Numbers (Top of Page)"/>
        <w:docPartUnique/>
      </w:docPartObj>
    </w:sdtPr>
    <w:sdtEndPr/>
    <w:sdtContent>
      <w:p w14:paraId="768A9510" w14:textId="2FBF9AC1" w:rsidR="000917CA" w:rsidRDefault="00D97B62">
        <w:pPr>
          <w:pStyle w:val="Header"/>
          <w:jc w:val="center"/>
        </w:pPr>
        <w:r>
          <w:fldChar w:fldCharType="begin"/>
        </w:r>
        <w:r>
          <w:instrText xml:space="preserve"> PAGE   \* MERGEFORMAT </w:instrText>
        </w:r>
        <w:r>
          <w:fldChar w:fldCharType="separate"/>
        </w:r>
        <w:r w:rsidR="007D27AA">
          <w:rPr>
            <w:noProof/>
          </w:rPr>
          <w:t>6</w:t>
        </w:r>
        <w:r>
          <w:rPr>
            <w:noProof/>
          </w:rPr>
          <w:fldChar w:fldCharType="end"/>
        </w:r>
      </w:p>
    </w:sdtContent>
  </w:sdt>
  <w:p w14:paraId="3D857CD3" w14:textId="77777777" w:rsidR="000917CA" w:rsidRDefault="00BC6B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1C36"/>
    <w:multiLevelType w:val="hybridMultilevel"/>
    <w:tmpl w:val="C3EA8A50"/>
    <w:lvl w:ilvl="0" w:tplc="95D47244">
      <w:start w:val="1"/>
      <w:numFmt w:val="decimal"/>
      <w:lvlText w:val="%1."/>
      <w:lvlJc w:val="left"/>
      <w:pPr>
        <w:ind w:left="990" w:hanging="360"/>
      </w:pPr>
      <w:rPr>
        <w:rFonts w:hint="default"/>
        <w:b/>
        <w:bCs w:val="0"/>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 w15:restartNumberingAfterBreak="0">
    <w:nsid w:val="7DA16008"/>
    <w:multiLevelType w:val="hybridMultilevel"/>
    <w:tmpl w:val="EED86EEC"/>
    <w:lvl w:ilvl="0" w:tplc="9FF2B4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FE"/>
    <w:rsid w:val="000025CE"/>
    <w:rsid w:val="000220D9"/>
    <w:rsid w:val="0002366F"/>
    <w:rsid w:val="00026664"/>
    <w:rsid w:val="00031A98"/>
    <w:rsid w:val="00032B83"/>
    <w:rsid w:val="00036D53"/>
    <w:rsid w:val="00061E93"/>
    <w:rsid w:val="00071D86"/>
    <w:rsid w:val="00084299"/>
    <w:rsid w:val="000B67C8"/>
    <w:rsid w:val="000D4810"/>
    <w:rsid w:val="000D7408"/>
    <w:rsid w:val="0010055C"/>
    <w:rsid w:val="00110904"/>
    <w:rsid w:val="00114B47"/>
    <w:rsid w:val="001215DF"/>
    <w:rsid w:val="00126C84"/>
    <w:rsid w:val="00127DED"/>
    <w:rsid w:val="00132B01"/>
    <w:rsid w:val="00143657"/>
    <w:rsid w:val="0014734F"/>
    <w:rsid w:val="00151BCB"/>
    <w:rsid w:val="0015400B"/>
    <w:rsid w:val="00154144"/>
    <w:rsid w:val="00154B39"/>
    <w:rsid w:val="00162C26"/>
    <w:rsid w:val="00166FB7"/>
    <w:rsid w:val="00167E48"/>
    <w:rsid w:val="00197D99"/>
    <w:rsid w:val="001A03DD"/>
    <w:rsid w:val="001A5EFB"/>
    <w:rsid w:val="001B1CB5"/>
    <w:rsid w:val="001B76C5"/>
    <w:rsid w:val="001D6821"/>
    <w:rsid w:val="001F0458"/>
    <w:rsid w:val="001F7657"/>
    <w:rsid w:val="00202A4F"/>
    <w:rsid w:val="00214A71"/>
    <w:rsid w:val="00214C89"/>
    <w:rsid w:val="002226EF"/>
    <w:rsid w:val="00222CE3"/>
    <w:rsid w:val="00245078"/>
    <w:rsid w:val="00252BBA"/>
    <w:rsid w:val="002565BE"/>
    <w:rsid w:val="00272404"/>
    <w:rsid w:val="002A53C4"/>
    <w:rsid w:val="002B0270"/>
    <w:rsid w:val="002B3311"/>
    <w:rsid w:val="002C12F2"/>
    <w:rsid w:val="002D1D23"/>
    <w:rsid w:val="002D7B42"/>
    <w:rsid w:val="002E556A"/>
    <w:rsid w:val="002E59D0"/>
    <w:rsid w:val="002E7ED3"/>
    <w:rsid w:val="00304CE6"/>
    <w:rsid w:val="0031631B"/>
    <w:rsid w:val="00323461"/>
    <w:rsid w:val="00325263"/>
    <w:rsid w:val="00327D2E"/>
    <w:rsid w:val="00344D6E"/>
    <w:rsid w:val="003455A8"/>
    <w:rsid w:val="0034726F"/>
    <w:rsid w:val="00353205"/>
    <w:rsid w:val="0035566A"/>
    <w:rsid w:val="00356E85"/>
    <w:rsid w:val="00366F77"/>
    <w:rsid w:val="0036780C"/>
    <w:rsid w:val="003773A3"/>
    <w:rsid w:val="00383C8E"/>
    <w:rsid w:val="00392EE6"/>
    <w:rsid w:val="0039363F"/>
    <w:rsid w:val="003A5D4B"/>
    <w:rsid w:val="003A6886"/>
    <w:rsid w:val="003A7E2B"/>
    <w:rsid w:val="003B1E7D"/>
    <w:rsid w:val="003B2CC7"/>
    <w:rsid w:val="003C08C8"/>
    <w:rsid w:val="003F2F8E"/>
    <w:rsid w:val="003F339E"/>
    <w:rsid w:val="003F5FFD"/>
    <w:rsid w:val="00402DEC"/>
    <w:rsid w:val="0041406D"/>
    <w:rsid w:val="00421526"/>
    <w:rsid w:val="00421973"/>
    <w:rsid w:val="00422194"/>
    <w:rsid w:val="00466AD2"/>
    <w:rsid w:val="00481F3F"/>
    <w:rsid w:val="004945F7"/>
    <w:rsid w:val="004A0F44"/>
    <w:rsid w:val="004A102D"/>
    <w:rsid w:val="004A27B2"/>
    <w:rsid w:val="004A4B0A"/>
    <w:rsid w:val="004D1A62"/>
    <w:rsid w:val="004D1C6D"/>
    <w:rsid w:val="004D2F44"/>
    <w:rsid w:val="004E568B"/>
    <w:rsid w:val="004F6AE9"/>
    <w:rsid w:val="00517CE1"/>
    <w:rsid w:val="00526328"/>
    <w:rsid w:val="00541A21"/>
    <w:rsid w:val="005468EC"/>
    <w:rsid w:val="00550197"/>
    <w:rsid w:val="00550B9A"/>
    <w:rsid w:val="00555403"/>
    <w:rsid w:val="00555563"/>
    <w:rsid w:val="005574B1"/>
    <w:rsid w:val="00560794"/>
    <w:rsid w:val="005627E6"/>
    <w:rsid w:val="00580F15"/>
    <w:rsid w:val="00582D39"/>
    <w:rsid w:val="005A7016"/>
    <w:rsid w:val="005D7346"/>
    <w:rsid w:val="005F5722"/>
    <w:rsid w:val="006038A1"/>
    <w:rsid w:val="006063B2"/>
    <w:rsid w:val="00633B0F"/>
    <w:rsid w:val="00643E5C"/>
    <w:rsid w:val="0066059E"/>
    <w:rsid w:val="00665C11"/>
    <w:rsid w:val="00672AA8"/>
    <w:rsid w:val="00675C8F"/>
    <w:rsid w:val="0068715E"/>
    <w:rsid w:val="006902A2"/>
    <w:rsid w:val="006A3EAC"/>
    <w:rsid w:val="006A5495"/>
    <w:rsid w:val="006E5149"/>
    <w:rsid w:val="006E53C1"/>
    <w:rsid w:val="00704D2D"/>
    <w:rsid w:val="00707669"/>
    <w:rsid w:val="00712CE1"/>
    <w:rsid w:val="0072078E"/>
    <w:rsid w:val="00730A48"/>
    <w:rsid w:val="007374DA"/>
    <w:rsid w:val="00742CDC"/>
    <w:rsid w:val="007574CB"/>
    <w:rsid w:val="00773016"/>
    <w:rsid w:val="00780BC4"/>
    <w:rsid w:val="0078212A"/>
    <w:rsid w:val="007821E4"/>
    <w:rsid w:val="00793E54"/>
    <w:rsid w:val="007A1CA5"/>
    <w:rsid w:val="007B5F98"/>
    <w:rsid w:val="007D27AA"/>
    <w:rsid w:val="007F4987"/>
    <w:rsid w:val="008004E2"/>
    <w:rsid w:val="00806A49"/>
    <w:rsid w:val="00807C36"/>
    <w:rsid w:val="00814F87"/>
    <w:rsid w:val="00833426"/>
    <w:rsid w:val="008373EE"/>
    <w:rsid w:val="00840E6C"/>
    <w:rsid w:val="008761DC"/>
    <w:rsid w:val="008779C5"/>
    <w:rsid w:val="008855C0"/>
    <w:rsid w:val="00893304"/>
    <w:rsid w:val="008A39AC"/>
    <w:rsid w:val="008B05E7"/>
    <w:rsid w:val="008B7DE0"/>
    <w:rsid w:val="008C01B5"/>
    <w:rsid w:val="008C6C19"/>
    <w:rsid w:val="008C713C"/>
    <w:rsid w:val="008E1F90"/>
    <w:rsid w:val="008F59EC"/>
    <w:rsid w:val="00937681"/>
    <w:rsid w:val="00971C4F"/>
    <w:rsid w:val="009927D4"/>
    <w:rsid w:val="009A31DB"/>
    <w:rsid w:val="00A13234"/>
    <w:rsid w:val="00A140D0"/>
    <w:rsid w:val="00A23775"/>
    <w:rsid w:val="00A241A3"/>
    <w:rsid w:val="00A2761C"/>
    <w:rsid w:val="00A34415"/>
    <w:rsid w:val="00A40908"/>
    <w:rsid w:val="00A40CD0"/>
    <w:rsid w:val="00A4199B"/>
    <w:rsid w:val="00A42D08"/>
    <w:rsid w:val="00A46337"/>
    <w:rsid w:val="00A61CD8"/>
    <w:rsid w:val="00A66077"/>
    <w:rsid w:val="00A7420A"/>
    <w:rsid w:val="00A7781C"/>
    <w:rsid w:val="00A802CC"/>
    <w:rsid w:val="00A839C7"/>
    <w:rsid w:val="00AA2A87"/>
    <w:rsid w:val="00AB710F"/>
    <w:rsid w:val="00AD04C1"/>
    <w:rsid w:val="00AD2BB7"/>
    <w:rsid w:val="00AD7188"/>
    <w:rsid w:val="00AE1138"/>
    <w:rsid w:val="00AE2EDB"/>
    <w:rsid w:val="00AE452C"/>
    <w:rsid w:val="00AF0FC4"/>
    <w:rsid w:val="00B00197"/>
    <w:rsid w:val="00B00908"/>
    <w:rsid w:val="00B021D9"/>
    <w:rsid w:val="00B075A0"/>
    <w:rsid w:val="00B1452F"/>
    <w:rsid w:val="00B202A3"/>
    <w:rsid w:val="00B44AE5"/>
    <w:rsid w:val="00B60B4F"/>
    <w:rsid w:val="00B74003"/>
    <w:rsid w:val="00B8143A"/>
    <w:rsid w:val="00B8290F"/>
    <w:rsid w:val="00B85553"/>
    <w:rsid w:val="00B978B2"/>
    <w:rsid w:val="00BA2C6A"/>
    <w:rsid w:val="00BC1637"/>
    <w:rsid w:val="00BC227D"/>
    <w:rsid w:val="00BC6B73"/>
    <w:rsid w:val="00BE07D2"/>
    <w:rsid w:val="00C04065"/>
    <w:rsid w:val="00C07330"/>
    <w:rsid w:val="00C11CD8"/>
    <w:rsid w:val="00C233E6"/>
    <w:rsid w:val="00C45C60"/>
    <w:rsid w:val="00C52E8E"/>
    <w:rsid w:val="00C54335"/>
    <w:rsid w:val="00C560FC"/>
    <w:rsid w:val="00C56500"/>
    <w:rsid w:val="00C56E0B"/>
    <w:rsid w:val="00C706A1"/>
    <w:rsid w:val="00C95B5D"/>
    <w:rsid w:val="00CA0F79"/>
    <w:rsid w:val="00CA1054"/>
    <w:rsid w:val="00CB1451"/>
    <w:rsid w:val="00CC192F"/>
    <w:rsid w:val="00CC394D"/>
    <w:rsid w:val="00CE353E"/>
    <w:rsid w:val="00CE57A5"/>
    <w:rsid w:val="00CF1F92"/>
    <w:rsid w:val="00CF7290"/>
    <w:rsid w:val="00CF7CBF"/>
    <w:rsid w:val="00D05B19"/>
    <w:rsid w:val="00D1779D"/>
    <w:rsid w:val="00D31EFE"/>
    <w:rsid w:val="00D41DBB"/>
    <w:rsid w:val="00D45A0C"/>
    <w:rsid w:val="00D53C4F"/>
    <w:rsid w:val="00D92F99"/>
    <w:rsid w:val="00D97B62"/>
    <w:rsid w:val="00DB0179"/>
    <w:rsid w:val="00DB5596"/>
    <w:rsid w:val="00DC235F"/>
    <w:rsid w:val="00DC5237"/>
    <w:rsid w:val="00DF1B86"/>
    <w:rsid w:val="00DF3160"/>
    <w:rsid w:val="00E059FC"/>
    <w:rsid w:val="00E06ECD"/>
    <w:rsid w:val="00E22293"/>
    <w:rsid w:val="00E30793"/>
    <w:rsid w:val="00E33D6E"/>
    <w:rsid w:val="00E413B7"/>
    <w:rsid w:val="00E4655C"/>
    <w:rsid w:val="00E6332F"/>
    <w:rsid w:val="00EC660B"/>
    <w:rsid w:val="00ED3A2A"/>
    <w:rsid w:val="00ED42B1"/>
    <w:rsid w:val="00EE68CB"/>
    <w:rsid w:val="00EF3EB6"/>
    <w:rsid w:val="00F01E13"/>
    <w:rsid w:val="00F16DA1"/>
    <w:rsid w:val="00F1768C"/>
    <w:rsid w:val="00F24423"/>
    <w:rsid w:val="00F3380A"/>
    <w:rsid w:val="00F53FCB"/>
    <w:rsid w:val="00F677E2"/>
    <w:rsid w:val="00F7249B"/>
    <w:rsid w:val="00F8717D"/>
    <w:rsid w:val="00FB07E7"/>
    <w:rsid w:val="00FB3D71"/>
    <w:rsid w:val="00FB61B2"/>
    <w:rsid w:val="00FB6E30"/>
    <w:rsid w:val="00FC417A"/>
    <w:rsid w:val="00FC4216"/>
    <w:rsid w:val="00FC7406"/>
    <w:rsid w:val="00FF0394"/>
    <w:rsid w:val="00FF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C8D4"/>
  <w15:chartTrackingRefBased/>
  <w15:docId w15:val="{E83BB7C1-85DC-4BF3-A179-148FD85B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EF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31EFE"/>
    <w:rPr>
      <w:sz w:val="20"/>
      <w:szCs w:val="20"/>
    </w:rPr>
  </w:style>
  <w:style w:type="character" w:customStyle="1" w:styleId="FootnoteTextChar">
    <w:name w:val="Footnote Text Char"/>
    <w:basedOn w:val="DefaultParagraphFont"/>
    <w:link w:val="FootnoteText"/>
    <w:uiPriority w:val="99"/>
    <w:rsid w:val="00D31EFE"/>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D31EFE"/>
    <w:rPr>
      <w:vertAlign w:val="superscript"/>
    </w:rPr>
  </w:style>
  <w:style w:type="character" w:styleId="Strong">
    <w:name w:val="Strong"/>
    <w:basedOn w:val="DefaultParagraphFont"/>
    <w:uiPriority w:val="22"/>
    <w:qFormat/>
    <w:rsid w:val="00D31EFE"/>
    <w:rPr>
      <w:b/>
      <w:bCs/>
    </w:rPr>
  </w:style>
  <w:style w:type="paragraph" w:styleId="NormalWeb">
    <w:name w:val="Normal (Web)"/>
    <w:basedOn w:val="Normal"/>
    <w:uiPriority w:val="99"/>
    <w:unhideWhenUsed/>
    <w:rsid w:val="00D31EFE"/>
    <w:pPr>
      <w:spacing w:before="100" w:beforeAutospacing="1" w:after="100" w:afterAutospacing="1"/>
    </w:pPr>
    <w:rPr>
      <w:sz w:val="24"/>
      <w:szCs w:val="24"/>
    </w:rPr>
  </w:style>
  <w:style w:type="paragraph" w:styleId="ListParagraph">
    <w:name w:val="List Paragraph"/>
    <w:basedOn w:val="Normal"/>
    <w:uiPriority w:val="34"/>
    <w:qFormat/>
    <w:rsid w:val="00D31EFE"/>
    <w:pPr>
      <w:ind w:left="720"/>
      <w:contextualSpacing/>
    </w:pPr>
  </w:style>
  <w:style w:type="paragraph" w:customStyle="1" w:styleId="normal-p">
    <w:name w:val="normal-p"/>
    <w:basedOn w:val="Normal"/>
    <w:rsid w:val="00D31EFE"/>
    <w:rPr>
      <w:sz w:val="20"/>
      <w:szCs w:val="20"/>
    </w:rPr>
  </w:style>
  <w:style w:type="paragraph" w:styleId="Header">
    <w:name w:val="header"/>
    <w:basedOn w:val="Normal"/>
    <w:link w:val="HeaderChar"/>
    <w:uiPriority w:val="99"/>
    <w:unhideWhenUsed/>
    <w:rsid w:val="00D31EFE"/>
    <w:pPr>
      <w:tabs>
        <w:tab w:val="center" w:pos="4680"/>
        <w:tab w:val="right" w:pos="9360"/>
      </w:tabs>
    </w:pPr>
  </w:style>
  <w:style w:type="character" w:customStyle="1" w:styleId="HeaderChar">
    <w:name w:val="Header Char"/>
    <w:basedOn w:val="DefaultParagraphFont"/>
    <w:link w:val="Header"/>
    <w:uiPriority w:val="99"/>
    <w:rsid w:val="00D31EFE"/>
    <w:rPr>
      <w:rFonts w:ascii="Times New Roman" w:eastAsia="Times New Roman" w:hAnsi="Times New Roman" w:cs="Times New Roman"/>
      <w:sz w:val="28"/>
      <w:szCs w:val="28"/>
    </w:rPr>
  </w:style>
  <w:style w:type="paragraph" w:styleId="BodyText">
    <w:name w:val="Body Text"/>
    <w:basedOn w:val="Normal"/>
    <w:link w:val="BodyTextChar"/>
    <w:rsid w:val="002B3311"/>
    <w:pPr>
      <w:suppressAutoHyphens/>
      <w:spacing w:after="120"/>
    </w:pPr>
    <w:rPr>
      <w:noProof/>
      <w:sz w:val="24"/>
      <w:szCs w:val="24"/>
      <w:lang w:eastAsia="ar-SA"/>
    </w:rPr>
  </w:style>
  <w:style w:type="character" w:customStyle="1" w:styleId="BodyTextChar">
    <w:name w:val="Body Text Char"/>
    <w:basedOn w:val="DefaultParagraphFont"/>
    <w:link w:val="BodyText"/>
    <w:rsid w:val="002B3311"/>
    <w:rPr>
      <w:rFonts w:ascii="Times New Roman" w:eastAsia="Times New Roman" w:hAnsi="Times New Roman" w:cs="Times New Roman"/>
      <w:noProof/>
      <w:sz w:val="24"/>
      <w:szCs w:val="24"/>
      <w:lang w:eastAsia="ar-SA"/>
    </w:rPr>
  </w:style>
  <w:style w:type="character" w:customStyle="1" w:styleId="fontstyle01">
    <w:name w:val="fontstyle01"/>
    <w:basedOn w:val="DefaultParagraphFont"/>
    <w:rsid w:val="00084299"/>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09132">
      <w:bodyDiv w:val="1"/>
      <w:marLeft w:val="0"/>
      <w:marRight w:val="0"/>
      <w:marTop w:val="0"/>
      <w:marBottom w:val="0"/>
      <w:divBdr>
        <w:top w:val="none" w:sz="0" w:space="0" w:color="auto"/>
        <w:left w:val="none" w:sz="0" w:space="0" w:color="auto"/>
        <w:bottom w:val="none" w:sz="0" w:space="0" w:color="auto"/>
        <w:right w:val="none" w:sz="0" w:space="0" w:color="auto"/>
      </w:divBdr>
    </w:div>
    <w:div w:id="1252158819">
      <w:bodyDiv w:val="1"/>
      <w:marLeft w:val="0"/>
      <w:marRight w:val="0"/>
      <w:marTop w:val="0"/>
      <w:marBottom w:val="0"/>
      <w:divBdr>
        <w:top w:val="none" w:sz="0" w:space="0" w:color="auto"/>
        <w:left w:val="none" w:sz="0" w:space="0" w:color="auto"/>
        <w:bottom w:val="none" w:sz="0" w:space="0" w:color="auto"/>
        <w:right w:val="none" w:sz="0" w:space="0" w:color="auto"/>
      </w:divBdr>
    </w:div>
    <w:div w:id="1468620883">
      <w:bodyDiv w:val="1"/>
      <w:marLeft w:val="0"/>
      <w:marRight w:val="0"/>
      <w:marTop w:val="0"/>
      <w:marBottom w:val="0"/>
      <w:divBdr>
        <w:top w:val="none" w:sz="0" w:space="0" w:color="auto"/>
        <w:left w:val="none" w:sz="0" w:space="0" w:color="auto"/>
        <w:bottom w:val="none" w:sz="0" w:space="0" w:color="auto"/>
        <w:right w:val="none" w:sz="0" w:space="0" w:color="auto"/>
      </w:divBdr>
    </w:div>
    <w:div w:id="164839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7D4AA-9515-45C5-9D23-874B61BF82D3}"/>
</file>

<file path=customXml/itemProps2.xml><?xml version="1.0" encoding="utf-8"?>
<ds:datastoreItem xmlns:ds="http://schemas.openxmlformats.org/officeDocument/2006/customXml" ds:itemID="{190F42FC-4DAB-4576-8E39-BC8E0D09CC01}"/>
</file>

<file path=customXml/itemProps3.xml><?xml version="1.0" encoding="utf-8"?>
<ds:datastoreItem xmlns:ds="http://schemas.openxmlformats.org/officeDocument/2006/customXml" ds:itemID="{860B6CDE-7022-4B23-9888-A45ED7B99CB2}"/>
</file>

<file path=docProps/app.xml><?xml version="1.0" encoding="utf-8"?>
<Properties xmlns="http://schemas.openxmlformats.org/officeDocument/2006/extended-properties" xmlns:vt="http://schemas.openxmlformats.org/officeDocument/2006/docPropsVTypes">
  <Template>Normal</Template>
  <TotalTime>66</TotalTime>
  <Pages>9</Pages>
  <Words>3122</Words>
  <Characters>17802</Characters>
  <Application>Microsoft Office Word</Application>
  <DocSecurity>0</DocSecurity>
  <Lines>148</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NgoThanhHai</cp:lastModifiedBy>
  <cp:revision>10</cp:revision>
  <dcterms:created xsi:type="dcterms:W3CDTF">2022-03-10T08:13:00Z</dcterms:created>
  <dcterms:modified xsi:type="dcterms:W3CDTF">2022-05-19T01:47:00Z</dcterms:modified>
</cp:coreProperties>
</file>